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20960">
      <w:pPr>
        <w:pStyle w:val="11"/>
        <w:keepNext w:val="0"/>
        <w:keepLines w:val="0"/>
        <w:pageBreakBefore w:val="0"/>
        <w:shd w:val="clear" w:color="auto" w:fill="FFFFFF"/>
        <w:wordWrap/>
        <w:overflowPunct/>
        <w:topLinePunct w:val="0"/>
        <w:bidi w:val="0"/>
        <w:snapToGrid w:val="0"/>
        <w:spacing w:before="0" w:beforeAutospacing="0" w:after="0" w:afterAutospacing="0" w:line="600" w:lineRule="exact"/>
        <w:jc w:val="center"/>
        <w:rPr>
          <w:rFonts w:hint="eastAsia" w:ascii="方正小标宋简体" w:hAnsi="方正小标宋简体" w:eastAsia="方正小标宋简体" w:cs="方正小标宋简体"/>
          <w:b/>
          <w:bCs/>
          <w:sz w:val="44"/>
          <w:szCs w:val="44"/>
          <w:highlight w:val="none"/>
          <w:lang w:eastAsia="zh-CN"/>
        </w:rPr>
      </w:pPr>
      <w:r>
        <w:rPr>
          <w:rFonts w:hint="eastAsia" w:ascii="方正小标宋简体" w:hAnsi="方正小标宋简体" w:eastAsia="方正小标宋简体" w:cs="方正小标宋简体"/>
          <w:b w:val="0"/>
          <w:bCs w:val="0"/>
          <w:kern w:val="2"/>
          <w:sz w:val="44"/>
          <w:szCs w:val="44"/>
        </w:rPr>
        <w:t xml:space="preserve">附件1 </w:t>
      </w:r>
      <w:r>
        <w:rPr>
          <w:rFonts w:hint="eastAsia" w:ascii="方正小标宋简体" w:hAnsi="方正小标宋简体" w:eastAsia="方正小标宋简体" w:cs="方正小标宋简体"/>
          <w:b w:val="0"/>
          <w:bCs w:val="0"/>
          <w:sz w:val="44"/>
          <w:szCs w:val="44"/>
          <w:highlight w:val="none"/>
        </w:rPr>
        <w:t>综合表现量化评分标准</w:t>
      </w:r>
    </w:p>
    <w:tbl>
      <w:tblPr>
        <w:tblStyle w:val="13"/>
        <w:tblpPr w:leftFromText="180" w:rightFromText="180" w:vertAnchor="text" w:horzAnchor="margin" w:tblpXSpec="center" w:tblpY="248"/>
        <w:tblW w:w="9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534"/>
        <w:gridCol w:w="8385"/>
      </w:tblGrid>
      <w:tr w14:paraId="649C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8" w:type="dxa"/>
            <w:vAlign w:val="center"/>
          </w:tcPr>
          <w:p w14:paraId="3BB75CAF">
            <w:pPr>
              <w:keepNext w:val="0"/>
              <w:keepLines w:val="0"/>
              <w:pageBreakBefore w:val="0"/>
              <w:wordWrap/>
              <w:overflowPunct/>
              <w:topLinePunct w:val="0"/>
              <w:bidi w:val="0"/>
              <w:adjustRightInd w:val="0"/>
              <w:snapToGrid w:val="0"/>
              <w:spacing w:line="300" w:lineRule="auto"/>
              <w:jc w:val="center"/>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评价</w:t>
            </w:r>
          </w:p>
          <w:p w14:paraId="22275E40">
            <w:pPr>
              <w:keepNext w:val="0"/>
              <w:keepLines w:val="0"/>
              <w:pageBreakBefore w:val="0"/>
              <w:wordWrap/>
              <w:overflowPunct/>
              <w:topLinePunct w:val="0"/>
              <w:bidi w:val="0"/>
              <w:adjustRightInd w:val="0"/>
              <w:snapToGrid w:val="0"/>
              <w:spacing w:line="300" w:lineRule="auto"/>
              <w:jc w:val="center"/>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指标</w:t>
            </w:r>
          </w:p>
        </w:tc>
        <w:tc>
          <w:tcPr>
            <w:tcW w:w="534" w:type="dxa"/>
            <w:vAlign w:val="center"/>
          </w:tcPr>
          <w:p w14:paraId="0FE3B353">
            <w:pPr>
              <w:keepNext w:val="0"/>
              <w:keepLines w:val="0"/>
              <w:pageBreakBefore w:val="0"/>
              <w:wordWrap/>
              <w:overflowPunct/>
              <w:topLinePunct w:val="0"/>
              <w:bidi w:val="0"/>
              <w:adjustRightInd w:val="0"/>
              <w:snapToGrid w:val="0"/>
              <w:spacing w:line="300" w:lineRule="auto"/>
              <w:jc w:val="center"/>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权重</w:t>
            </w:r>
          </w:p>
        </w:tc>
        <w:tc>
          <w:tcPr>
            <w:tcW w:w="8385" w:type="dxa"/>
            <w:vAlign w:val="center"/>
          </w:tcPr>
          <w:p w14:paraId="7E9D6623">
            <w:pPr>
              <w:keepNext w:val="0"/>
              <w:keepLines w:val="0"/>
              <w:pageBreakBefore w:val="0"/>
              <w:wordWrap/>
              <w:overflowPunct/>
              <w:topLinePunct w:val="0"/>
              <w:bidi w:val="0"/>
              <w:adjustRightInd w:val="0"/>
              <w:snapToGrid w:val="0"/>
              <w:spacing w:line="300" w:lineRule="auto"/>
              <w:jc w:val="center"/>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评价要素及加权计算办法</w:t>
            </w:r>
          </w:p>
        </w:tc>
      </w:tr>
      <w:tr w14:paraId="0308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968" w:type="dxa"/>
            <w:vAlign w:val="center"/>
          </w:tcPr>
          <w:p w14:paraId="33F84150">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德育成绩</w:t>
            </w:r>
          </w:p>
        </w:tc>
        <w:tc>
          <w:tcPr>
            <w:tcW w:w="534" w:type="dxa"/>
            <w:vAlign w:val="center"/>
          </w:tcPr>
          <w:p w14:paraId="3DD5A379">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10%</w:t>
            </w:r>
          </w:p>
        </w:tc>
        <w:tc>
          <w:tcPr>
            <w:tcW w:w="8385" w:type="dxa"/>
            <w:vAlign w:val="center"/>
          </w:tcPr>
          <w:p w14:paraId="4A0B2997">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热爱社会主义祖国，拥护中国共产党领导，道德品质优良，诚实守信，关心集体，积极参加集体活动，团结同学，心理健康，积极向上；遵守宪法和法律，遵守学校规章制度，在校期间未受</w:t>
            </w:r>
            <w:r>
              <w:rPr>
                <w:rFonts w:hint="eastAsia" w:ascii="Times New Roman" w:hAnsi="Times New Roman" w:cs="Times New Roman"/>
                <w:color w:val="auto"/>
                <w:sz w:val="24"/>
                <w:szCs w:val="24"/>
                <w:highlight w:val="none"/>
                <w:lang w:val="en-US" w:eastAsia="zh-CN"/>
              </w:rPr>
              <w:t>到</w:t>
            </w:r>
            <w:r>
              <w:rPr>
                <w:rFonts w:hint="default" w:ascii="Times New Roman" w:hAnsi="Times New Roman" w:cs="Times New Roman"/>
                <w:color w:val="auto"/>
                <w:sz w:val="24"/>
                <w:szCs w:val="24"/>
                <w:highlight w:val="none"/>
              </w:rPr>
              <w:t>任何纪律处分，计10</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分。</w:t>
            </w:r>
          </w:p>
          <w:p w14:paraId="75BF7F7B">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GB"/>
              </w:rPr>
              <w:t>院级</w:t>
            </w:r>
            <w:r>
              <w:rPr>
                <w:rFonts w:hint="default" w:ascii="Times New Roman" w:hAnsi="Times New Roman" w:cs="Times New Roman"/>
                <w:color w:val="auto"/>
                <w:sz w:val="24"/>
                <w:szCs w:val="24"/>
                <w:highlight w:val="none"/>
              </w:rPr>
              <w:t>通报批评1次扣</w:t>
            </w:r>
            <w:r>
              <w:rPr>
                <w:rFonts w:hint="default" w:ascii="Times New Roman" w:hAnsi="Times New Roman" w:cs="Times New Roman"/>
                <w:color w:val="auto"/>
                <w:sz w:val="24"/>
                <w:szCs w:val="24"/>
                <w:highlight w:val="none"/>
                <w:lang w:val="en-US" w:eastAsia="zh-CN"/>
              </w:rPr>
              <w:t>2</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val="en-US" w:eastAsia="zh-CN"/>
              </w:rPr>
              <w:t>校级通报批评、院级以上</w:t>
            </w:r>
            <w:r>
              <w:rPr>
                <w:rFonts w:hint="default" w:ascii="Times New Roman" w:hAnsi="Times New Roman" w:cs="Times New Roman"/>
                <w:color w:val="auto"/>
                <w:sz w:val="24"/>
                <w:szCs w:val="24"/>
                <w:highlight w:val="none"/>
              </w:rPr>
              <w:t>警告处分及以上取消评奖学金资格</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涉嫌学术不端经学院学术委员会查证属实者（含尚未下发处分文件），取消评选资格</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德育成绩低于</w:t>
            </w:r>
            <w:r>
              <w:rPr>
                <w:rFonts w:hint="eastAsia" w:ascii="Times New Roman" w:hAnsi="Times New Roman" w:cs="Times New Roman"/>
                <w:color w:val="auto"/>
                <w:sz w:val="24"/>
                <w:szCs w:val="24"/>
                <w:highlight w:val="none"/>
                <w:lang w:val="en-US" w:eastAsia="zh-CN"/>
              </w:rPr>
              <w:t>60</w:t>
            </w:r>
            <w:r>
              <w:rPr>
                <w:rFonts w:hint="default" w:ascii="Times New Roman" w:hAnsi="Times New Roman" w:cs="Times New Roman"/>
                <w:color w:val="auto"/>
                <w:sz w:val="24"/>
                <w:szCs w:val="24"/>
                <w:highlight w:val="none"/>
                <w:lang w:val="en-US" w:eastAsia="zh-CN"/>
              </w:rPr>
              <w:t>分的，按德育考核不及格计，取消奖学金评选资格。</w:t>
            </w:r>
          </w:p>
          <w:p w14:paraId="529918D4">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不服从导师、学院、学生社区等管理，由导师出具纸质材料（需注明具体原因）明确不宜评选奖学金评选者，经评审小组讨论并采纳导师意见后，取消奖学金评选资格。</w:t>
            </w:r>
          </w:p>
          <w:p w14:paraId="6599320B">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val="en-US" w:eastAsia="zh-CN"/>
              </w:rPr>
              <w:t>我院研究生教育秉承“立德树人，德育为先，育人为本”，凡在学习生活过程中，存在道德败坏、品行不端、发表不当言论等现象，被同学举报或在学院形成不良舆情的，经查证属实，扣3</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5</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分，情节严重的取消</w:t>
            </w:r>
            <w:r>
              <w:rPr>
                <w:rFonts w:hint="default" w:ascii="Times New Roman" w:hAnsi="Times New Roman" w:cs="Times New Roman"/>
                <w:color w:val="auto"/>
                <w:sz w:val="24"/>
                <w:szCs w:val="24"/>
                <w:highlight w:val="none"/>
              </w:rPr>
              <w:t>评奖学金资格</w:t>
            </w:r>
            <w:r>
              <w:rPr>
                <w:rFonts w:hint="default" w:ascii="Times New Roman" w:hAnsi="Times New Roman" w:cs="Times New Roman"/>
                <w:color w:val="auto"/>
                <w:sz w:val="24"/>
                <w:szCs w:val="24"/>
                <w:highlight w:val="none"/>
                <w:lang w:eastAsia="zh-CN"/>
              </w:rPr>
              <w:t>。</w:t>
            </w:r>
          </w:p>
          <w:p w14:paraId="11D82FFF">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德育单项成绩满分为100分。</w:t>
            </w:r>
          </w:p>
        </w:tc>
      </w:tr>
      <w:tr w14:paraId="644D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6" w:hRule="atLeast"/>
        </w:trPr>
        <w:tc>
          <w:tcPr>
            <w:tcW w:w="968" w:type="dxa"/>
            <w:vAlign w:val="center"/>
          </w:tcPr>
          <w:p w14:paraId="11911D29">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学业成绩</w:t>
            </w:r>
          </w:p>
        </w:tc>
        <w:tc>
          <w:tcPr>
            <w:tcW w:w="534" w:type="dxa"/>
            <w:vAlign w:val="center"/>
          </w:tcPr>
          <w:p w14:paraId="236076DB">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25</w:t>
            </w:r>
            <w:r>
              <w:rPr>
                <w:rFonts w:hint="default" w:ascii="Times New Roman" w:hAnsi="Times New Roman" w:cs="Times New Roman"/>
                <w:color w:val="auto"/>
                <w:sz w:val="24"/>
                <w:szCs w:val="24"/>
                <w:highlight w:val="none"/>
              </w:rPr>
              <w:t>%</w:t>
            </w:r>
          </w:p>
        </w:tc>
        <w:tc>
          <w:tcPr>
            <w:tcW w:w="8385" w:type="dxa"/>
            <w:vAlign w:val="center"/>
          </w:tcPr>
          <w:p w14:paraId="6B9154E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cs="Times New Roman"/>
                <w:color w:val="auto"/>
                <w:sz w:val="24"/>
                <w:szCs w:val="24"/>
                <w:highlight w:val="none"/>
              </w:rPr>
              <w:t>学习成绩优</w:t>
            </w:r>
            <w:r>
              <w:rPr>
                <w:rFonts w:hint="default" w:ascii="Times New Roman" w:hAnsi="Times New Roman" w:cs="Times New Roman"/>
                <w:color w:val="auto"/>
                <w:sz w:val="24"/>
                <w:szCs w:val="24"/>
                <w:highlight w:val="none"/>
                <w:lang w:val="en-US" w:eastAsia="zh-CN"/>
              </w:rPr>
              <w:t>异</w:t>
            </w:r>
            <w:r>
              <w:rPr>
                <w:rFonts w:hint="eastAsia" w:ascii="Times New Roman" w:hAnsi="Times New Roman" w:cs="Times New Roman"/>
                <w:color w:val="auto"/>
                <w:sz w:val="24"/>
                <w:szCs w:val="24"/>
                <w:highlight w:val="none"/>
                <w:lang w:val="en-US" w:eastAsia="zh-CN"/>
              </w:rPr>
              <w:t>，无挂科</w:t>
            </w:r>
            <w:r>
              <w:rPr>
                <w:rFonts w:hint="eastAsia" w:ascii="Times New Roman" w:hAnsi="Times New Roman" w:cs="Times New Roman"/>
                <w:color w:val="0000FF"/>
                <w:sz w:val="24"/>
                <w:szCs w:val="24"/>
                <w:highlight w:val="none"/>
                <w:lang w:val="en-US" w:eastAsia="zh-CN"/>
              </w:rPr>
              <w:t>（任意课程不及格者取消评选资格）</w:t>
            </w:r>
            <w:r>
              <w:rPr>
                <w:rFonts w:hint="eastAsia" w:ascii="Times New Roman" w:hAnsi="Times New Roman" w:cs="Times New Roman"/>
                <w:color w:val="0000FF"/>
                <w:sz w:val="24"/>
                <w:szCs w:val="24"/>
                <w:highlight w:val="none"/>
                <w:lang w:eastAsia="zh-CN"/>
              </w:rPr>
              <w:t>；</w:t>
            </w:r>
            <w:r>
              <w:rPr>
                <w:rFonts w:hint="default" w:ascii="Times New Roman" w:hAnsi="Times New Roman" w:cs="Times New Roman"/>
                <w:color w:val="0000FF"/>
                <w:sz w:val="24"/>
                <w:szCs w:val="24"/>
                <w:highlight w:val="none"/>
              </w:rPr>
              <w:t>按时上课，无迟到、早退和旷课现象</w:t>
            </w:r>
            <w:r>
              <w:rPr>
                <w:rFonts w:hint="eastAsia" w:ascii="Times New Roman" w:hAnsi="Times New Roman" w:cs="Times New Roman"/>
                <w:color w:val="0000FF"/>
                <w:sz w:val="24"/>
                <w:szCs w:val="24"/>
                <w:highlight w:val="none"/>
                <w:lang w:eastAsia="zh-CN"/>
              </w:rPr>
              <w:t>；</w:t>
            </w:r>
            <w:r>
              <w:rPr>
                <w:rFonts w:hint="eastAsia" w:ascii="Times New Roman" w:hAnsi="Times New Roman" w:cs="Times New Roman"/>
                <w:color w:val="0000FF"/>
                <w:sz w:val="24"/>
                <w:szCs w:val="24"/>
                <w:highlight w:val="none"/>
                <w:lang w:val="en-US" w:eastAsia="zh-CN"/>
              </w:rPr>
              <w:t>课程成绩=70+（所有课程</w:t>
            </w:r>
            <w:r>
              <w:rPr>
                <w:rFonts w:hint="default" w:ascii="Times New Roman" w:hAnsi="Times New Roman" w:cs="Times New Roman"/>
                <w:color w:val="0000FF"/>
                <w:sz w:val="24"/>
                <w:szCs w:val="24"/>
                <w:highlight w:val="none"/>
              </w:rPr>
              <w:t>平均</w:t>
            </w:r>
            <w:r>
              <w:rPr>
                <w:rFonts w:hint="eastAsia" w:ascii="Times New Roman" w:hAnsi="Times New Roman" w:cs="Times New Roman"/>
                <w:color w:val="0000FF"/>
                <w:sz w:val="24"/>
                <w:szCs w:val="24"/>
                <w:highlight w:val="none"/>
                <w:lang w:val="en-US" w:eastAsia="zh-CN"/>
              </w:rPr>
              <w:t>分-70）×50%</w:t>
            </w:r>
            <w:r>
              <w:rPr>
                <w:rFonts w:hint="eastAsia" w:ascii="Times New Roman" w:hAnsi="Times New Roman" w:cs="Times New Roman"/>
                <w:color w:val="0000FF"/>
                <w:sz w:val="24"/>
                <w:szCs w:val="24"/>
                <w:highlight w:val="none"/>
                <w:lang w:eastAsia="zh-CN"/>
              </w:rPr>
              <w:t>，</w:t>
            </w:r>
            <w:r>
              <w:rPr>
                <w:rFonts w:hint="eastAsia" w:ascii="Times New Roman" w:hAnsi="Times New Roman" w:cs="Times New Roman"/>
                <w:color w:val="0000FF"/>
                <w:sz w:val="24"/>
                <w:szCs w:val="24"/>
                <w:highlight w:val="none"/>
                <w:lang w:val="en-US" w:eastAsia="zh-CN"/>
              </w:rPr>
              <w:t>课程成绩</w:t>
            </w:r>
            <w:r>
              <w:rPr>
                <w:rFonts w:hint="default" w:ascii="Times New Roman" w:hAnsi="Times New Roman" w:cs="Times New Roman"/>
                <w:color w:val="0000FF"/>
                <w:sz w:val="24"/>
                <w:szCs w:val="24"/>
                <w:highlight w:val="none"/>
              </w:rPr>
              <w:t>最高计</w:t>
            </w:r>
            <w:r>
              <w:rPr>
                <w:rFonts w:hint="eastAsia" w:ascii="Times New Roman" w:hAnsi="Times New Roman" w:cs="Times New Roman"/>
                <w:color w:val="0000FF"/>
                <w:sz w:val="24"/>
                <w:szCs w:val="24"/>
                <w:highlight w:val="none"/>
                <w:lang w:val="en-US" w:eastAsia="zh-CN"/>
              </w:rPr>
              <w:t>85</w:t>
            </w:r>
            <w:r>
              <w:rPr>
                <w:rFonts w:hint="default" w:ascii="Times New Roman" w:hAnsi="Times New Roman" w:cs="Times New Roman"/>
                <w:color w:val="0000FF"/>
                <w:sz w:val="24"/>
                <w:szCs w:val="24"/>
                <w:highlight w:val="none"/>
              </w:rPr>
              <w:t>分</w:t>
            </w:r>
            <w:r>
              <w:rPr>
                <w:rFonts w:hint="eastAsia" w:ascii="Times New Roman" w:hAnsi="Times New Roman" w:cs="Times New Roman"/>
                <w:color w:val="0000FF"/>
                <w:sz w:val="24"/>
                <w:szCs w:val="24"/>
                <w:highlight w:val="none"/>
                <w:lang w:val="en-US" w:eastAsia="zh-CN"/>
              </w:rPr>
              <w:t>。注：课程成绩“优秀”按90分计，“良好”按80分计，“中等”按70分计，“及格”按60分计。</w:t>
            </w:r>
          </w:p>
          <w:p w14:paraId="309B3DF0">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kern w:val="2"/>
                <w:sz w:val="24"/>
                <w:szCs w:val="24"/>
                <w:highlight w:val="none"/>
                <w:lang w:val="en-US" w:eastAsia="zh-CN" w:bidi="ar-SA"/>
              </w:rPr>
              <w:t>2.</w:t>
            </w:r>
            <w:r>
              <w:rPr>
                <w:rFonts w:hint="default" w:ascii="Times New Roman" w:hAnsi="Times New Roman" w:cs="Times New Roman"/>
                <w:color w:val="auto"/>
                <w:sz w:val="24"/>
                <w:szCs w:val="24"/>
                <w:highlight w:val="none"/>
              </w:rPr>
              <w:t>CET-6≥425分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或雅思</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6.5分，或托福成绩</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90分以上，</w:t>
            </w:r>
            <w:r>
              <w:rPr>
                <w:rFonts w:hint="default" w:ascii="Times New Roman" w:hAnsi="Times New Roman" w:cs="Times New Roman"/>
                <w:color w:val="auto"/>
                <w:sz w:val="24"/>
                <w:szCs w:val="24"/>
                <w:highlight w:val="none"/>
              </w:rPr>
              <w:t>计1</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分；CET-4≥425分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或雅思</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6.0分，或托福成绩</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80分以上</w:t>
            </w:r>
            <w:r>
              <w:rPr>
                <w:rFonts w:hint="default" w:ascii="Times New Roman" w:hAnsi="Times New Roman" w:cs="Times New Roman"/>
                <w:color w:val="auto"/>
                <w:sz w:val="24"/>
                <w:szCs w:val="24"/>
                <w:highlight w:val="none"/>
              </w:rPr>
              <w:t>者计7分，低于425分者计0分；CET-6</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CET-4</w:t>
            </w:r>
            <w:r>
              <w:rPr>
                <w:rFonts w:hint="eastAsia" w:ascii="Times New Roman" w:hAnsi="Times New Roman" w:cs="Times New Roman"/>
                <w:color w:val="auto"/>
                <w:sz w:val="24"/>
                <w:szCs w:val="24"/>
                <w:highlight w:val="none"/>
                <w:lang w:eastAsia="zh-CN"/>
              </w:rPr>
              <w:t>、</w:t>
            </w:r>
            <w:r>
              <w:rPr>
                <w:rFonts w:ascii="宋体" w:hAnsi="宋体" w:eastAsia="宋体" w:cs="宋体"/>
                <w:sz w:val="24"/>
                <w:szCs w:val="24"/>
              </w:rPr>
              <w:t>雅思、托福</w:t>
            </w:r>
            <w:r>
              <w:rPr>
                <w:rFonts w:hint="default" w:ascii="Times New Roman" w:hAnsi="Times New Roman" w:cs="Times New Roman"/>
                <w:color w:val="auto"/>
                <w:sz w:val="24"/>
                <w:szCs w:val="24"/>
                <w:highlight w:val="none"/>
                <w:lang w:val="en-GB"/>
              </w:rPr>
              <w:t>可以</w:t>
            </w:r>
            <w:r>
              <w:rPr>
                <w:rFonts w:hint="default" w:ascii="Times New Roman" w:hAnsi="Times New Roman" w:cs="Times New Roman"/>
                <w:color w:val="auto"/>
                <w:sz w:val="24"/>
                <w:szCs w:val="24"/>
                <w:highlight w:val="none"/>
              </w:rPr>
              <w:t>任选一项计分，不得重复计分。</w:t>
            </w:r>
            <w:r>
              <w:rPr>
                <w:rFonts w:hint="eastAsia" w:ascii="Times New Roman" w:hAnsi="Times New Roman" w:cs="Times New Roman"/>
                <w:color w:val="auto"/>
                <w:sz w:val="24"/>
                <w:szCs w:val="24"/>
                <w:highlight w:val="none"/>
                <w:lang w:val="en-US" w:eastAsia="zh-CN"/>
              </w:rPr>
              <w:t>因英语等级证书是学生英语水平的体现，故不受评定周期影响。</w:t>
            </w:r>
          </w:p>
          <w:p w14:paraId="4B217EA3">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学业单项成绩满分为100分。</w:t>
            </w:r>
          </w:p>
        </w:tc>
      </w:tr>
      <w:tr w14:paraId="1339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2" w:hRule="atLeast"/>
        </w:trPr>
        <w:tc>
          <w:tcPr>
            <w:tcW w:w="968" w:type="dxa"/>
            <w:vAlign w:val="center"/>
          </w:tcPr>
          <w:p w14:paraId="4B02B4A1">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学术成果</w:t>
            </w:r>
          </w:p>
        </w:tc>
        <w:tc>
          <w:tcPr>
            <w:tcW w:w="534" w:type="dxa"/>
            <w:vAlign w:val="center"/>
          </w:tcPr>
          <w:p w14:paraId="6601FFDB">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w:t>
            </w:r>
          </w:p>
        </w:tc>
        <w:tc>
          <w:tcPr>
            <w:tcW w:w="8385" w:type="dxa"/>
            <w:vAlign w:val="center"/>
          </w:tcPr>
          <w:p w14:paraId="391CC45F">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val="en-US" w:eastAsia="zh-CN"/>
              </w:rPr>
              <w:t>学术</w:t>
            </w:r>
            <w:r>
              <w:rPr>
                <w:rFonts w:hint="default" w:ascii="Times New Roman" w:hAnsi="Times New Roman" w:cs="Times New Roman"/>
                <w:color w:val="auto"/>
                <w:sz w:val="24"/>
                <w:szCs w:val="24"/>
                <w:highlight w:val="none"/>
              </w:rPr>
              <w:t>论文：</w:t>
            </w:r>
          </w:p>
          <w:p w14:paraId="057DBED4">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我院学生，</w:t>
            </w:r>
            <w:r>
              <w:rPr>
                <w:rFonts w:hint="default" w:ascii="Times New Roman" w:hAnsi="Times New Roman" w:cs="Times New Roman"/>
                <w:color w:val="auto"/>
                <w:sz w:val="24"/>
                <w:szCs w:val="24"/>
                <w:highlight w:val="none"/>
              </w:rPr>
              <w:t>署名第一单位必须是新疆农业大学，其他不予认定</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论文作者</w:t>
            </w:r>
            <w:r>
              <w:rPr>
                <w:rFonts w:hint="eastAsia" w:ascii="Times New Roman" w:hAnsi="Times New Roman" w:cs="Times New Roman"/>
                <w:color w:val="auto"/>
                <w:sz w:val="24"/>
                <w:szCs w:val="24"/>
                <w:highlight w:val="none"/>
                <w:lang w:val="en-US" w:eastAsia="zh-CN"/>
              </w:rPr>
              <w:t>导师必须为研究生系统中第一导师。</w:t>
            </w:r>
            <w:r>
              <w:rPr>
                <w:rFonts w:hint="default" w:ascii="Times New Roman" w:hAnsi="Times New Roman" w:cs="Times New Roman"/>
                <w:color w:val="auto"/>
                <w:sz w:val="24"/>
                <w:szCs w:val="24"/>
                <w:highlight w:val="none"/>
                <w:lang w:val="en-US" w:eastAsia="zh-CN"/>
              </w:rPr>
              <w:t>考虑到</w:t>
            </w:r>
            <w:r>
              <w:rPr>
                <w:rFonts w:hint="eastAsia" w:ascii="Times New Roman" w:hAnsi="Times New Roman" w:cs="Times New Roman"/>
                <w:color w:val="auto"/>
                <w:sz w:val="24"/>
                <w:szCs w:val="24"/>
                <w:highlight w:val="none"/>
                <w:lang w:val="en-US" w:eastAsia="zh-CN"/>
              </w:rPr>
              <w:t>期刊</w:t>
            </w:r>
            <w:r>
              <w:rPr>
                <w:rFonts w:hint="default" w:ascii="Times New Roman" w:hAnsi="Times New Roman" w:cs="Times New Roman"/>
                <w:color w:val="auto"/>
                <w:sz w:val="24"/>
                <w:szCs w:val="24"/>
                <w:highlight w:val="none"/>
                <w:lang w:val="en-US" w:eastAsia="zh-CN"/>
              </w:rPr>
              <w:t>发表周期长、见刊慢等，凡中国知网可查的、已有录用函的论文提供缴费证明后均予以认定。</w:t>
            </w:r>
          </w:p>
          <w:p w14:paraId="04F4545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（1）学生学术成果只认定第一</w:t>
            </w:r>
            <w:r>
              <w:rPr>
                <w:rFonts w:hint="default" w:ascii="Times New Roman" w:hAnsi="Times New Roman" w:cs="Times New Roman"/>
                <w:color w:val="auto"/>
                <w:sz w:val="24"/>
                <w:szCs w:val="24"/>
                <w:highlight w:val="none"/>
              </w:rPr>
              <w:t>作者</w:t>
            </w:r>
            <w:r>
              <w:rPr>
                <w:rFonts w:hint="eastAsia" w:ascii="Times New Roman" w:hAnsi="Times New Roman" w:cs="Times New Roman"/>
                <w:color w:val="auto"/>
                <w:sz w:val="24"/>
                <w:szCs w:val="24"/>
                <w:highlight w:val="none"/>
                <w:lang w:val="en-US" w:eastAsia="zh-CN"/>
              </w:rPr>
              <w:t>或通讯作者</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独立第一作者或独立通讯作者认定100%；有多个并列第一作者/通讯作者的，排名第一的作者/通讯作者</w:t>
            </w:r>
            <w:r>
              <w:rPr>
                <w:rFonts w:hint="default" w:ascii="Times New Roman" w:hAnsi="Times New Roman" w:cs="Times New Roman"/>
                <w:color w:val="auto"/>
                <w:sz w:val="24"/>
                <w:szCs w:val="24"/>
                <w:highlight w:val="none"/>
              </w:rPr>
              <w:t>认定</w:t>
            </w:r>
            <w:r>
              <w:rPr>
                <w:rFonts w:hint="eastAsia"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0%</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其余并列作者平均分配40%</w:t>
            </w:r>
            <w:r>
              <w:rPr>
                <w:rFonts w:hint="default" w:ascii="Times New Roman" w:hAnsi="Times New Roman" w:cs="Times New Roman"/>
                <w:color w:val="auto"/>
                <w:sz w:val="24"/>
                <w:szCs w:val="24"/>
                <w:highlight w:val="none"/>
              </w:rPr>
              <w:t>。</w:t>
            </w:r>
          </w:p>
          <w:p w14:paraId="7E8DDF2B">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yellow"/>
              </w:rPr>
            </w:pPr>
            <w:r>
              <w:rPr>
                <w:rFonts w:hint="eastAsia" w:ascii="Times New Roman" w:hAnsi="Times New Roman" w:cs="Times New Roman"/>
                <w:color w:val="auto"/>
                <w:sz w:val="24"/>
                <w:szCs w:val="24"/>
                <w:highlight w:val="yellow"/>
                <w:lang w:val="en-US" w:eastAsia="zh-CN"/>
              </w:rPr>
              <w:t>导师排名第一，学生排名第二的，学生按第一作者计认定</w:t>
            </w:r>
            <w:r>
              <w:rPr>
                <w:rFonts w:hint="default" w:ascii="Times New Roman" w:hAnsi="Times New Roman" w:cs="Times New Roman"/>
                <w:color w:val="auto"/>
                <w:sz w:val="24"/>
                <w:szCs w:val="24"/>
                <w:highlight w:val="yellow"/>
              </w:rPr>
              <w:t>。</w:t>
            </w:r>
          </w:p>
          <w:p w14:paraId="53BA4970">
            <w:pPr>
              <w:keepNext w:val="0"/>
              <w:keepLines w:val="0"/>
              <w:pageBreakBefore w:val="0"/>
              <w:widowControl w:val="0"/>
              <w:kinsoku/>
              <w:wordWrap/>
              <w:overflowPunct/>
              <w:topLinePunct w:val="0"/>
              <w:autoSpaceDE/>
              <w:autoSpaceDN/>
              <w:bidi w:val="0"/>
              <w:adjustRightInd/>
              <w:snapToGrid/>
              <w:spacing w:beforeLines="-2147483648" w:afterLines="-2147483648" w:line="300" w:lineRule="auto"/>
              <w:ind w:firstLine="480" w:firstLineChars="20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学术成果按照</w:t>
            </w:r>
            <w:r>
              <w:rPr>
                <w:rFonts w:hint="default" w:ascii="Times New Roman" w:hAnsi="Times New Roman" w:eastAsia="宋体" w:cs="Times New Roman"/>
                <w:color w:val="auto"/>
                <w:sz w:val="24"/>
                <w:szCs w:val="24"/>
                <w:highlight w:val="none"/>
                <w:lang w:eastAsia="zh-CN"/>
              </w:rPr>
              <w:t>《新疆农业大学高水平期刊目录》</w:t>
            </w:r>
            <w:r>
              <w:rPr>
                <w:rFonts w:hint="default" w:ascii="Times New Roman" w:hAnsi="Times New Roman" w:cs="Times New Roman"/>
                <w:color w:val="auto"/>
                <w:sz w:val="24"/>
                <w:szCs w:val="24"/>
                <w:highlight w:val="none"/>
                <w:lang w:val="en-US" w:eastAsia="zh-CN"/>
              </w:rPr>
              <w:t>规定执行，具体A类期刊赋50分，10</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≤IF因子＜20</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赋60分，20</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≤IF因子＜30</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赋80分，30</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≤IF因子赋100分；B类期刊赋30分，IF因子＞8</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赋40分；C类期刊赋20分，IF因子＞5</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赋25分；D类期刊赋15分；E类期刊赋10分</w:t>
            </w:r>
            <w:r>
              <w:rPr>
                <w:rFonts w:hint="default" w:ascii="Times New Roman" w:hAnsi="Times New Roman" w:cs="Times New Roman"/>
                <w:color w:val="auto"/>
                <w:sz w:val="24"/>
                <w:szCs w:val="24"/>
                <w:highlight w:val="none"/>
              </w:rPr>
              <w:t>。EI</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CSCD</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含扩展</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期刊</w:t>
            </w:r>
            <w:r>
              <w:rPr>
                <w:rFonts w:hint="default" w:ascii="Times New Roman" w:hAnsi="Times New Roman" w:cs="Times New Roman"/>
                <w:color w:val="auto"/>
                <w:sz w:val="24"/>
                <w:szCs w:val="24"/>
                <w:highlight w:val="none"/>
                <w:lang w:val="en-US" w:eastAsia="zh-CN"/>
              </w:rPr>
              <w:t>赋8分</w:t>
            </w:r>
            <w:r>
              <w:rPr>
                <w:rFonts w:hint="default" w:ascii="Times New Roman" w:hAnsi="Times New Roman" w:cs="Times New Roman"/>
                <w:color w:val="auto"/>
                <w:sz w:val="24"/>
                <w:szCs w:val="24"/>
                <w:highlight w:val="none"/>
              </w:rPr>
              <w:t>。核心期刊</w:t>
            </w:r>
            <w:r>
              <w:rPr>
                <w:rFonts w:hint="default" w:ascii="Times New Roman" w:hAnsi="Times New Roman" w:cs="Times New Roman"/>
                <w:color w:val="auto"/>
                <w:sz w:val="24"/>
                <w:szCs w:val="24"/>
                <w:highlight w:val="none"/>
                <w:lang w:val="en-US" w:eastAsia="zh-CN"/>
              </w:rPr>
              <w:t>赋</w:t>
            </w:r>
            <w:r>
              <w:rPr>
                <w:rFonts w:hint="default" w:ascii="Times New Roman" w:hAnsi="Times New Roman" w:cs="Times New Roman"/>
                <w:color w:val="auto"/>
                <w:sz w:val="24"/>
                <w:szCs w:val="24"/>
                <w:highlight w:val="none"/>
              </w:rPr>
              <w:t>4</w:t>
            </w:r>
            <w:r>
              <w:rPr>
                <w:rFonts w:hint="default" w:ascii="Times New Roman" w:hAnsi="Times New Roman" w:cs="Times New Roman"/>
                <w:color w:val="auto"/>
                <w:sz w:val="24"/>
                <w:szCs w:val="24"/>
                <w:highlight w:val="none"/>
                <w:lang w:val="en-US" w:eastAsia="zh-CN"/>
              </w:rPr>
              <w:t>分</w:t>
            </w:r>
            <w:r>
              <w:rPr>
                <w:rFonts w:hint="default" w:ascii="Times New Roman" w:hAnsi="Times New Roman" w:cs="Times New Roman"/>
                <w:color w:val="auto"/>
                <w:sz w:val="24"/>
                <w:szCs w:val="24"/>
                <w:highlight w:val="none"/>
              </w:rPr>
              <w:t>。一般期刊</w:t>
            </w:r>
            <w:r>
              <w:rPr>
                <w:rFonts w:hint="default" w:ascii="Times New Roman" w:hAnsi="Times New Roman" w:cs="Times New Roman"/>
                <w:color w:val="auto"/>
                <w:sz w:val="24"/>
                <w:szCs w:val="24"/>
                <w:highlight w:val="none"/>
                <w:lang w:val="en-US" w:eastAsia="zh-CN"/>
              </w:rPr>
              <w:t>赋2分</w:t>
            </w:r>
            <w:r>
              <w:rPr>
                <w:rFonts w:hint="default" w:ascii="Times New Roman" w:hAnsi="Times New Roman" w:cs="Times New Roman"/>
                <w:color w:val="auto"/>
                <w:sz w:val="24"/>
                <w:szCs w:val="24"/>
                <w:highlight w:val="none"/>
              </w:rPr>
              <w:t>。</w:t>
            </w:r>
          </w:p>
          <w:p w14:paraId="7BF159F8">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注：所有论文必须严格按照国家及学校学术规范相关文件投稿、撰写，凡涉及代投、代写等学术不端或学术不规范的论文不予认定，并按相关规定予以处理，取消参评资格。</w:t>
            </w:r>
          </w:p>
          <w:p w14:paraId="73139307">
            <w:pPr>
              <w:keepNext w:val="0"/>
              <w:keepLines w:val="0"/>
              <w:pageBreakBefore w:val="0"/>
              <w:widowControl w:val="0"/>
              <w:kinsoku/>
              <w:wordWrap/>
              <w:overflowPunct/>
              <w:topLinePunct w:val="0"/>
              <w:autoSpaceDE/>
              <w:autoSpaceDN/>
              <w:bidi w:val="0"/>
              <w:adjustRightInd/>
              <w:snapToGrid/>
              <w:spacing w:before="0" w:beforeAutospacing="0" w:after="0" w:afterAutospacing="0" w:line="300" w:lineRule="auto"/>
              <w:ind w:firstLine="480" w:firstLineChars="200"/>
              <w:jc w:val="left"/>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eastAsia="zh-CN"/>
              </w:rPr>
              <w:t>2.</w:t>
            </w:r>
            <w:r>
              <w:rPr>
                <w:rFonts w:hint="default" w:ascii="Times New Roman" w:hAnsi="Times New Roman" w:cs="Times New Roman"/>
                <w:color w:val="auto"/>
                <w:sz w:val="24"/>
                <w:szCs w:val="24"/>
                <w:highlight w:val="none"/>
              </w:rPr>
              <w:t>专利</w:t>
            </w:r>
            <w:r>
              <w:rPr>
                <w:rFonts w:hint="default" w:ascii="Times New Roman" w:hAnsi="Times New Roman" w:cs="Times New Roman"/>
                <w:color w:val="auto"/>
                <w:sz w:val="24"/>
                <w:szCs w:val="24"/>
                <w:highlight w:val="none"/>
                <w:lang w:val="en-US" w:eastAsia="zh-CN"/>
              </w:rPr>
              <w:t>软著</w:t>
            </w:r>
            <w:r>
              <w:rPr>
                <w:rFonts w:hint="default" w:ascii="Times New Roman" w:hAnsi="Times New Roman" w:cs="Times New Roman"/>
                <w:color w:val="auto"/>
                <w:sz w:val="24"/>
                <w:szCs w:val="24"/>
                <w:highlight w:val="none"/>
              </w:rPr>
              <w:t>：</w:t>
            </w:r>
          </w:p>
          <w:p w14:paraId="35DAB572">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rPr>
              <w:t>国家发明专利</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新品种审定获得授权，排名第一（或</w:t>
            </w:r>
            <w:r>
              <w:rPr>
                <w:rFonts w:hint="default" w:ascii="Times New Roman" w:hAnsi="Times New Roman" w:cs="Times New Roman"/>
                <w:color w:val="auto"/>
                <w:sz w:val="24"/>
                <w:szCs w:val="24"/>
                <w:highlight w:val="none"/>
                <w:lang w:val="en-US" w:eastAsia="zh-CN"/>
              </w:rPr>
              <w:t>导师</w:t>
            </w:r>
            <w:r>
              <w:rPr>
                <w:rFonts w:hint="default" w:ascii="Times New Roman" w:hAnsi="Times New Roman" w:cs="Times New Roman"/>
                <w:color w:val="auto"/>
                <w:sz w:val="24"/>
                <w:szCs w:val="24"/>
                <w:highlight w:val="none"/>
              </w:rPr>
              <w:t>为排名第一、</w:t>
            </w:r>
            <w:r>
              <w:rPr>
                <w:rFonts w:hint="eastAsia" w:ascii="Times New Roman" w:hAnsi="Times New Roman" w:cs="Times New Roman"/>
                <w:color w:val="auto"/>
                <w:sz w:val="24"/>
                <w:szCs w:val="24"/>
                <w:highlight w:val="none"/>
                <w:lang w:val="en-US" w:eastAsia="zh-CN"/>
              </w:rPr>
              <w:t>申请者</w:t>
            </w:r>
            <w:r>
              <w:rPr>
                <w:rFonts w:hint="default" w:ascii="Times New Roman" w:hAnsi="Times New Roman" w:cs="Times New Roman"/>
                <w:color w:val="auto"/>
                <w:sz w:val="24"/>
                <w:szCs w:val="24"/>
                <w:highlight w:val="none"/>
              </w:rPr>
              <w:t>排名第二）计</w:t>
            </w:r>
            <w:r>
              <w:rPr>
                <w:rFonts w:hint="eastAsia" w:ascii="Times New Roman" w:hAnsi="Times New Roman" w:cs="Times New Roman"/>
                <w:color w:val="auto"/>
                <w:sz w:val="24"/>
                <w:szCs w:val="24"/>
                <w:highlight w:val="none"/>
                <w:lang w:val="en-US" w:eastAsia="zh-CN"/>
              </w:rPr>
              <w:t>20</w:t>
            </w:r>
            <w:r>
              <w:rPr>
                <w:rFonts w:hint="default" w:ascii="Times New Roman" w:hAnsi="Times New Roman" w:cs="Times New Roman"/>
                <w:color w:val="auto"/>
                <w:sz w:val="24"/>
                <w:szCs w:val="24"/>
                <w:highlight w:val="none"/>
              </w:rPr>
              <w:t>分。排名第</w:t>
            </w:r>
            <w:r>
              <w:rPr>
                <w:rFonts w:hint="default" w:ascii="Times New Roman" w:hAnsi="Times New Roman" w:cs="Times New Roman"/>
                <w:color w:val="auto"/>
                <w:sz w:val="24"/>
                <w:szCs w:val="24"/>
                <w:highlight w:val="none"/>
                <w:lang w:val="en-US" w:eastAsia="zh-CN"/>
              </w:rPr>
              <w:t>二</w:t>
            </w:r>
            <w:r>
              <w:rPr>
                <w:rFonts w:hint="eastAsia" w:ascii="Times New Roman" w:hAnsi="Times New Roman" w:cs="Times New Roman"/>
                <w:color w:val="auto"/>
                <w:sz w:val="24"/>
                <w:szCs w:val="24"/>
                <w:highlight w:val="none"/>
                <w:lang w:val="en-US" w:eastAsia="zh-CN"/>
              </w:rPr>
              <w:t>、第</w:t>
            </w:r>
            <w:r>
              <w:rPr>
                <w:rFonts w:hint="default" w:ascii="Times New Roman" w:hAnsi="Times New Roman" w:cs="Times New Roman"/>
                <w:color w:val="auto"/>
                <w:sz w:val="24"/>
                <w:szCs w:val="24"/>
                <w:highlight w:val="none"/>
                <w:lang w:val="en-US" w:eastAsia="zh-CN"/>
              </w:rPr>
              <w:t>三</w:t>
            </w:r>
            <w:r>
              <w:rPr>
                <w:rFonts w:hint="eastAsia" w:ascii="Times New Roman" w:hAnsi="Times New Roman" w:cs="Times New Roman"/>
                <w:color w:val="auto"/>
                <w:sz w:val="24"/>
                <w:szCs w:val="24"/>
                <w:highlight w:val="none"/>
                <w:lang w:val="en-US" w:eastAsia="zh-CN"/>
              </w:rPr>
              <w:t>、第四</w:t>
            </w:r>
            <w:r>
              <w:rPr>
                <w:rFonts w:hint="default" w:ascii="Times New Roman" w:hAnsi="Times New Roman" w:cs="Times New Roman"/>
                <w:color w:val="auto"/>
                <w:sz w:val="24"/>
                <w:szCs w:val="24"/>
                <w:highlight w:val="none"/>
              </w:rPr>
              <w:t>认定</w:t>
            </w:r>
            <w:r>
              <w:rPr>
                <w:rFonts w:hint="default"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0%。其他排名</w:t>
            </w:r>
            <w:r>
              <w:rPr>
                <w:rFonts w:hint="default" w:ascii="Times New Roman" w:hAnsi="Times New Roman" w:cs="Times New Roman"/>
                <w:color w:val="auto"/>
                <w:sz w:val="24"/>
                <w:szCs w:val="24"/>
                <w:highlight w:val="none"/>
                <w:lang w:val="en-US" w:eastAsia="zh-CN"/>
              </w:rPr>
              <w:t>均</w:t>
            </w:r>
            <w:r>
              <w:rPr>
                <w:rFonts w:hint="default" w:ascii="Times New Roman" w:hAnsi="Times New Roman" w:cs="Times New Roman"/>
                <w:color w:val="auto"/>
                <w:sz w:val="24"/>
                <w:szCs w:val="24"/>
                <w:highlight w:val="none"/>
              </w:rPr>
              <w:t>认定</w:t>
            </w:r>
            <w:r>
              <w:rPr>
                <w:rFonts w:hint="default" w:ascii="Times New Roman" w:hAnsi="Times New Roman" w:cs="Times New Roman"/>
                <w:color w:val="auto"/>
                <w:sz w:val="24"/>
                <w:szCs w:val="24"/>
                <w:highlight w:val="none"/>
                <w:lang w:val="en-US" w:eastAsia="zh-CN"/>
              </w:rPr>
              <w:t>10%</w:t>
            </w:r>
            <w:r>
              <w:rPr>
                <w:rFonts w:hint="eastAsia" w:ascii="Times New Roman" w:hAnsi="Times New Roman" w:cs="Times New Roman"/>
                <w:color w:val="auto"/>
                <w:sz w:val="24"/>
                <w:szCs w:val="24"/>
                <w:highlight w:val="none"/>
                <w:lang w:val="en-US" w:eastAsia="zh-CN"/>
              </w:rPr>
              <w:t>。获得（授理）实质审查通知书的分别认定上述标准的50%</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仅限</w:t>
            </w:r>
            <w:r>
              <w:rPr>
                <w:rFonts w:hint="default" w:ascii="Times New Roman" w:hAnsi="Times New Roman" w:cs="Times New Roman"/>
                <w:color w:val="auto"/>
                <w:sz w:val="24"/>
                <w:szCs w:val="24"/>
                <w:highlight w:val="none"/>
              </w:rPr>
              <w:t>国家发明专利</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eastAsia="zh-CN"/>
              </w:rPr>
              <w:t>。</w:t>
            </w:r>
          </w:p>
          <w:p w14:paraId="2CA075A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实用新型专利</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软件著作权</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kern w:val="2"/>
                <w:sz w:val="24"/>
                <w:szCs w:val="24"/>
                <w:highlight w:val="none"/>
                <w:lang w:val="en-US" w:eastAsia="zh-CN" w:bidi="ar-SA"/>
              </w:rPr>
              <w:t>外观设计专利</w:t>
            </w:r>
            <w:r>
              <w:rPr>
                <w:rFonts w:hint="default" w:ascii="Times New Roman" w:hAnsi="Times New Roman" w:cs="Times New Roman"/>
                <w:color w:val="auto"/>
                <w:sz w:val="24"/>
                <w:szCs w:val="24"/>
                <w:highlight w:val="none"/>
              </w:rPr>
              <w:t>获得授权，</w:t>
            </w:r>
            <w:r>
              <w:rPr>
                <w:rFonts w:hint="eastAsia" w:ascii="Times New Roman" w:hAnsi="Times New Roman" w:cs="Times New Roman"/>
                <w:color w:val="auto"/>
                <w:sz w:val="24"/>
                <w:szCs w:val="24"/>
                <w:highlight w:val="none"/>
                <w:lang w:val="en-US" w:eastAsia="zh-CN"/>
              </w:rPr>
              <w:t>第一发明人</w:t>
            </w:r>
            <w:r>
              <w:rPr>
                <w:rFonts w:hint="default" w:ascii="Times New Roman" w:hAnsi="Times New Roman" w:cs="Times New Roman"/>
                <w:color w:val="auto"/>
                <w:sz w:val="24"/>
                <w:szCs w:val="24"/>
                <w:highlight w:val="none"/>
              </w:rPr>
              <w:t>计</w:t>
            </w:r>
            <w:r>
              <w:rPr>
                <w:rFonts w:hint="eastAsia" w:ascii="Times New Roman" w:hAnsi="Times New Roman"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val="en-US" w:eastAsia="zh-CN"/>
              </w:rPr>
              <w:t>分</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第二发明人计7</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分</w:t>
            </w:r>
            <w:r>
              <w:rPr>
                <w:rFonts w:hint="eastAsia" w:ascii="Times New Roman" w:hAnsi="Times New Roman" w:cs="Times New Roman"/>
                <w:color w:val="auto"/>
                <w:sz w:val="24"/>
                <w:szCs w:val="24"/>
                <w:highlight w:val="none"/>
                <w:lang w:val="en-US" w:eastAsia="zh-CN"/>
              </w:rPr>
              <w:t>；第三发明人</w:t>
            </w:r>
            <w:r>
              <w:rPr>
                <w:rFonts w:hint="default" w:ascii="Times New Roman" w:hAnsi="Times New Roman" w:cs="Times New Roman"/>
                <w:color w:val="auto"/>
                <w:sz w:val="24"/>
                <w:szCs w:val="24"/>
                <w:highlight w:val="none"/>
              </w:rPr>
              <w:t>计</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val="en-US" w:eastAsia="zh-CN"/>
              </w:rPr>
              <w:t>分</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其他排名均不予认定。</w:t>
            </w:r>
          </w:p>
          <w:p w14:paraId="38541A85">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yellow"/>
              </w:rPr>
            </w:pPr>
            <w:r>
              <w:rPr>
                <w:rFonts w:hint="eastAsia" w:ascii="Times New Roman" w:hAnsi="Times New Roman" w:cs="Times New Roman"/>
                <w:color w:val="auto"/>
                <w:sz w:val="24"/>
                <w:szCs w:val="24"/>
                <w:highlight w:val="yellow"/>
                <w:lang w:eastAsia="zh-CN"/>
              </w:rPr>
              <w:t>3.</w:t>
            </w:r>
            <w:r>
              <w:rPr>
                <w:rFonts w:hint="default" w:ascii="Times New Roman" w:hAnsi="Times New Roman" w:cs="Times New Roman"/>
                <w:color w:val="auto"/>
                <w:sz w:val="24"/>
                <w:szCs w:val="24"/>
                <w:highlight w:val="yellow"/>
              </w:rPr>
              <w:t>科研奖项：</w:t>
            </w:r>
          </w:p>
          <w:p w14:paraId="54D54318">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Times New Roman" w:hAnsi="Times New Roman" w:cs="Times New Roman"/>
                <w:color w:val="0000FF"/>
                <w:sz w:val="24"/>
                <w:szCs w:val="24"/>
                <w:highlight w:val="none"/>
                <w:lang w:val="en-US" w:eastAsia="zh-CN"/>
              </w:rPr>
            </w:pPr>
            <w:r>
              <w:rPr>
                <w:rFonts w:hint="eastAsia" w:ascii="Times New Roman" w:hAnsi="Times New Roman" w:cs="Times New Roman"/>
                <w:color w:val="0000FF"/>
                <w:sz w:val="24"/>
                <w:szCs w:val="24"/>
                <w:highlight w:val="none"/>
                <w:lang w:val="en-US" w:eastAsia="zh-CN"/>
              </w:rPr>
              <w:t>地市级（含新疆农业大学十大科研进展）</w:t>
            </w:r>
            <w:r>
              <w:rPr>
                <w:rFonts w:hint="default" w:ascii="Times New Roman" w:hAnsi="Times New Roman" w:cs="Times New Roman"/>
                <w:color w:val="0000FF"/>
                <w:sz w:val="24"/>
                <w:szCs w:val="24"/>
                <w:highlight w:val="none"/>
              </w:rPr>
              <w:t>、省部级、国家级</w:t>
            </w:r>
            <w:r>
              <w:rPr>
                <w:rFonts w:hint="eastAsia" w:ascii="Times New Roman" w:hAnsi="Times New Roman" w:cs="Times New Roman"/>
                <w:color w:val="0000FF"/>
                <w:sz w:val="24"/>
                <w:szCs w:val="24"/>
                <w:highlight w:val="none"/>
                <w:lang w:val="en-US" w:eastAsia="zh-CN"/>
              </w:rPr>
              <w:t>科技奖励（科技进步奖、发明专利奖、自然科学奖）按下表要求进行赋分；</w:t>
            </w:r>
          </w:p>
          <w:p w14:paraId="67564D14">
            <w:pPr>
              <w:pStyle w:val="3"/>
              <w:rPr>
                <w:rFonts w:hint="eastAsia" w:ascii="Times New Roman" w:hAnsi="Times New Roman" w:cs="Times New Roman"/>
                <w:color w:val="0000FF"/>
                <w:sz w:val="24"/>
                <w:szCs w:val="24"/>
                <w:highlight w:val="none"/>
                <w:lang w:val="en-US" w:eastAsia="zh-CN"/>
              </w:rPr>
            </w:pPr>
          </w:p>
          <w:tbl>
            <w:tblPr>
              <w:tblStyle w:val="14"/>
              <w:tblW w:w="8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971"/>
              <w:gridCol w:w="995"/>
              <w:gridCol w:w="995"/>
              <w:gridCol w:w="995"/>
              <w:gridCol w:w="995"/>
              <w:gridCol w:w="995"/>
              <w:gridCol w:w="996"/>
            </w:tblGrid>
            <w:tr w14:paraId="6D0BA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25" w:type="dxa"/>
                  <w:vAlign w:val="center"/>
                </w:tcPr>
                <w:p w14:paraId="60A31846">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等级</w:t>
                  </w:r>
                </w:p>
              </w:tc>
              <w:tc>
                <w:tcPr>
                  <w:tcW w:w="971" w:type="dxa"/>
                  <w:vAlign w:val="center"/>
                </w:tcPr>
                <w:p w14:paraId="0149D4A1">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级别</w:t>
                  </w:r>
                </w:p>
              </w:tc>
              <w:tc>
                <w:tcPr>
                  <w:tcW w:w="995" w:type="dxa"/>
                  <w:vAlign w:val="center"/>
                </w:tcPr>
                <w:p w14:paraId="5DA7910E">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第一完成人</w:t>
                  </w:r>
                </w:p>
              </w:tc>
              <w:tc>
                <w:tcPr>
                  <w:tcW w:w="995" w:type="dxa"/>
                  <w:vAlign w:val="center"/>
                </w:tcPr>
                <w:p w14:paraId="3D3A0FB6">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第二完成人</w:t>
                  </w:r>
                </w:p>
              </w:tc>
              <w:tc>
                <w:tcPr>
                  <w:tcW w:w="995" w:type="dxa"/>
                  <w:vAlign w:val="center"/>
                </w:tcPr>
                <w:p w14:paraId="0397D048">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第三完成人</w:t>
                  </w:r>
                </w:p>
              </w:tc>
              <w:tc>
                <w:tcPr>
                  <w:tcW w:w="995" w:type="dxa"/>
                  <w:vAlign w:val="center"/>
                </w:tcPr>
                <w:p w14:paraId="3C545B83">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第四完成人</w:t>
                  </w:r>
                </w:p>
              </w:tc>
              <w:tc>
                <w:tcPr>
                  <w:tcW w:w="995" w:type="dxa"/>
                  <w:vAlign w:val="center"/>
                </w:tcPr>
                <w:p w14:paraId="4D4CE8E5">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第五完成人</w:t>
                  </w:r>
                </w:p>
              </w:tc>
              <w:tc>
                <w:tcPr>
                  <w:tcW w:w="996" w:type="dxa"/>
                  <w:vAlign w:val="center"/>
                </w:tcPr>
                <w:p w14:paraId="58C80988">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第六及以后</w:t>
                  </w:r>
                </w:p>
              </w:tc>
            </w:tr>
            <w:tr w14:paraId="1E876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restart"/>
                  <w:vAlign w:val="center"/>
                </w:tcPr>
                <w:p w14:paraId="6DE800D2">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特/一等奖</w:t>
                  </w:r>
                </w:p>
              </w:tc>
              <w:tc>
                <w:tcPr>
                  <w:tcW w:w="971" w:type="dxa"/>
                  <w:vAlign w:val="center"/>
                </w:tcPr>
                <w:p w14:paraId="49D71EEC">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国家级</w:t>
                  </w:r>
                </w:p>
              </w:tc>
              <w:tc>
                <w:tcPr>
                  <w:tcW w:w="995" w:type="dxa"/>
                  <w:vAlign w:val="center"/>
                </w:tcPr>
                <w:p w14:paraId="4F6A5C9D">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100</w:t>
                  </w:r>
                </w:p>
              </w:tc>
              <w:tc>
                <w:tcPr>
                  <w:tcW w:w="995" w:type="dxa"/>
                  <w:vAlign w:val="center"/>
                </w:tcPr>
                <w:p w14:paraId="75D49C17">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90</w:t>
                  </w:r>
                </w:p>
              </w:tc>
              <w:tc>
                <w:tcPr>
                  <w:tcW w:w="995" w:type="dxa"/>
                  <w:vAlign w:val="center"/>
                </w:tcPr>
                <w:p w14:paraId="4A0DF76F">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80</w:t>
                  </w:r>
                </w:p>
              </w:tc>
              <w:tc>
                <w:tcPr>
                  <w:tcW w:w="995" w:type="dxa"/>
                  <w:vAlign w:val="center"/>
                </w:tcPr>
                <w:p w14:paraId="5C47CF7A">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60</w:t>
                  </w:r>
                </w:p>
              </w:tc>
              <w:tc>
                <w:tcPr>
                  <w:tcW w:w="995" w:type="dxa"/>
                  <w:vAlign w:val="center"/>
                </w:tcPr>
                <w:p w14:paraId="0BA0E316">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40</w:t>
                  </w:r>
                </w:p>
              </w:tc>
              <w:tc>
                <w:tcPr>
                  <w:tcW w:w="996" w:type="dxa"/>
                  <w:vAlign w:val="center"/>
                </w:tcPr>
                <w:p w14:paraId="3BC919AE">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20</w:t>
                  </w:r>
                </w:p>
              </w:tc>
            </w:tr>
            <w:tr w14:paraId="7D70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continue"/>
                  <w:vAlign w:val="center"/>
                </w:tcPr>
                <w:p w14:paraId="518BA777">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p>
              </w:tc>
              <w:tc>
                <w:tcPr>
                  <w:tcW w:w="971" w:type="dxa"/>
                  <w:vAlign w:val="center"/>
                </w:tcPr>
                <w:p w14:paraId="5C615159">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省部级</w:t>
                  </w:r>
                </w:p>
              </w:tc>
              <w:tc>
                <w:tcPr>
                  <w:tcW w:w="995" w:type="dxa"/>
                  <w:vAlign w:val="center"/>
                </w:tcPr>
                <w:p w14:paraId="609FF658">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60</w:t>
                  </w:r>
                </w:p>
              </w:tc>
              <w:tc>
                <w:tcPr>
                  <w:tcW w:w="995" w:type="dxa"/>
                  <w:vAlign w:val="center"/>
                </w:tcPr>
                <w:p w14:paraId="6323D521">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50</w:t>
                  </w:r>
                </w:p>
              </w:tc>
              <w:tc>
                <w:tcPr>
                  <w:tcW w:w="995" w:type="dxa"/>
                  <w:vAlign w:val="center"/>
                </w:tcPr>
                <w:p w14:paraId="3B144F75">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40</w:t>
                  </w:r>
                </w:p>
              </w:tc>
              <w:tc>
                <w:tcPr>
                  <w:tcW w:w="995" w:type="dxa"/>
                  <w:vAlign w:val="center"/>
                </w:tcPr>
                <w:p w14:paraId="452A322A">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30</w:t>
                  </w:r>
                </w:p>
              </w:tc>
              <w:tc>
                <w:tcPr>
                  <w:tcW w:w="995" w:type="dxa"/>
                  <w:vAlign w:val="center"/>
                </w:tcPr>
                <w:p w14:paraId="3EF2A410">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20</w:t>
                  </w:r>
                </w:p>
              </w:tc>
              <w:tc>
                <w:tcPr>
                  <w:tcW w:w="996" w:type="dxa"/>
                  <w:vAlign w:val="center"/>
                </w:tcPr>
                <w:p w14:paraId="11969C6C">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10</w:t>
                  </w:r>
                </w:p>
              </w:tc>
            </w:tr>
            <w:tr w14:paraId="0F25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continue"/>
                  <w:vAlign w:val="center"/>
                </w:tcPr>
                <w:p w14:paraId="7A13490A">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p>
              </w:tc>
              <w:tc>
                <w:tcPr>
                  <w:tcW w:w="971" w:type="dxa"/>
                  <w:vAlign w:val="center"/>
                </w:tcPr>
                <w:p w14:paraId="7B2C591C">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地市级</w:t>
                  </w:r>
                </w:p>
              </w:tc>
              <w:tc>
                <w:tcPr>
                  <w:tcW w:w="995" w:type="dxa"/>
                  <w:vAlign w:val="center"/>
                </w:tcPr>
                <w:p w14:paraId="5598EFA9">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30</w:t>
                  </w:r>
                </w:p>
              </w:tc>
              <w:tc>
                <w:tcPr>
                  <w:tcW w:w="995" w:type="dxa"/>
                  <w:vAlign w:val="center"/>
                </w:tcPr>
                <w:p w14:paraId="214C645E">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20</w:t>
                  </w:r>
                </w:p>
              </w:tc>
              <w:tc>
                <w:tcPr>
                  <w:tcW w:w="995" w:type="dxa"/>
                  <w:vAlign w:val="center"/>
                </w:tcPr>
                <w:p w14:paraId="1765CC3E">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15</w:t>
                  </w:r>
                </w:p>
              </w:tc>
              <w:tc>
                <w:tcPr>
                  <w:tcW w:w="995" w:type="dxa"/>
                  <w:vAlign w:val="center"/>
                </w:tcPr>
                <w:p w14:paraId="6205F1F9">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10</w:t>
                  </w:r>
                </w:p>
              </w:tc>
              <w:tc>
                <w:tcPr>
                  <w:tcW w:w="995" w:type="dxa"/>
                  <w:vAlign w:val="center"/>
                </w:tcPr>
                <w:p w14:paraId="4DCFE30F">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8</w:t>
                  </w:r>
                </w:p>
              </w:tc>
              <w:tc>
                <w:tcPr>
                  <w:tcW w:w="996" w:type="dxa"/>
                  <w:vAlign w:val="center"/>
                </w:tcPr>
                <w:p w14:paraId="1E88A668">
                  <w:pPr>
                    <w:pStyle w:val="3"/>
                    <w:ind w:left="0" w:leftChars="0" w:firstLine="0" w:firstLineChars="0"/>
                    <w:jc w:val="center"/>
                    <w:rPr>
                      <w:rFonts w:hint="default"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5</w:t>
                  </w:r>
                </w:p>
              </w:tc>
            </w:tr>
            <w:tr w14:paraId="35273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restart"/>
                  <w:shd w:val="clear" w:color="auto" w:fill="auto"/>
                  <w:vAlign w:val="center"/>
                </w:tcPr>
                <w:p w14:paraId="0B622CBF">
                  <w:pPr>
                    <w:pStyle w:val="3"/>
                    <w:ind w:left="0" w:leftChars="0" w:firstLine="0" w:firstLineChars="0"/>
                    <w:jc w:val="center"/>
                    <w:rPr>
                      <w:rFonts w:hint="eastAsia" w:ascii="Times New Roman" w:hAnsi="Times New Roman" w:eastAsia="FangSong_GB2312" w:cs="Times New Roman"/>
                      <w:color w:val="0000FF"/>
                      <w:kern w:val="2"/>
                      <w:sz w:val="20"/>
                      <w:szCs w:val="20"/>
                      <w:highlight w:val="none"/>
                      <w:vertAlign w:val="baseline"/>
                      <w:lang w:val="en-US" w:eastAsia="zh-CN" w:bidi="ar-SA"/>
                    </w:rPr>
                  </w:pPr>
                  <w:r>
                    <w:rPr>
                      <w:rFonts w:hint="eastAsia" w:ascii="Times New Roman" w:hAnsi="Times New Roman" w:cs="Times New Roman"/>
                      <w:color w:val="0000FF"/>
                      <w:sz w:val="20"/>
                      <w:szCs w:val="20"/>
                      <w:highlight w:val="none"/>
                      <w:vertAlign w:val="baseline"/>
                      <w:lang w:val="en-US" w:eastAsia="zh-CN"/>
                    </w:rPr>
                    <w:t>二等奖</w:t>
                  </w:r>
                </w:p>
              </w:tc>
              <w:tc>
                <w:tcPr>
                  <w:tcW w:w="971" w:type="dxa"/>
                  <w:shd w:val="clear" w:color="auto" w:fill="auto"/>
                  <w:vAlign w:val="center"/>
                </w:tcPr>
                <w:p w14:paraId="68866C49">
                  <w:pPr>
                    <w:pStyle w:val="3"/>
                    <w:ind w:left="0" w:leftChars="0" w:firstLine="0" w:firstLineChars="0"/>
                    <w:jc w:val="center"/>
                    <w:rPr>
                      <w:rFonts w:hint="eastAsia" w:ascii="Times New Roman" w:hAnsi="Times New Roman" w:eastAsia="FangSong_GB2312" w:cs="Times New Roman"/>
                      <w:color w:val="0000FF"/>
                      <w:kern w:val="2"/>
                      <w:sz w:val="20"/>
                      <w:szCs w:val="20"/>
                      <w:highlight w:val="none"/>
                      <w:vertAlign w:val="baseline"/>
                      <w:lang w:val="en-US" w:eastAsia="zh-CN" w:bidi="ar-SA"/>
                    </w:rPr>
                  </w:pPr>
                  <w:r>
                    <w:rPr>
                      <w:rFonts w:hint="eastAsia" w:ascii="Times New Roman" w:hAnsi="Times New Roman" w:cs="Times New Roman"/>
                      <w:color w:val="0000FF"/>
                      <w:sz w:val="20"/>
                      <w:szCs w:val="20"/>
                      <w:highlight w:val="none"/>
                      <w:vertAlign w:val="baseline"/>
                      <w:lang w:val="en-US" w:eastAsia="zh-CN"/>
                    </w:rPr>
                    <w:t>国家级</w:t>
                  </w:r>
                </w:p>
              </w:tc>
              <w:tc>
                <w:tcPr>
                  <w:tcW w:w="995" w:type="dxa"/>
                  <w:vAlign w:val="center"/>
                </w:tcPr>
                <w:p w14:paraId="2C284085">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65</w:t>
                  </w:r>
                </w:p>
              </w:tc>
              <w:tc>
                <w:tcPr>
                  <w:tcW w:w="995" w:type="dxa"/>
                  <w:vAlign w:val="center"/>
                </w:tcPr>
                <w:p w14:paraId="0254B9AF">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58</w:t>
                  </w:r>
                </w:p>
              </w:tc>
              <w:tc>
                <w:tcPr>
                  <w:tcW w:w="995" w:type="dxa"/>
                  <w:vAlign w:val="center"/>
                </w:tcPr>
                <w:p w14:paraId="65F2C3FF">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50</w:t>
                  </w:r>
                </w:p>
              </w:tc>
              <w:tc>
                <w:tcPr>
                  <w:tcW w:w="995" w:type="dxa"/>
                  <w:vAlign w:val="center"/>
                </w:tcPr>
                <w:p w14:paraId="40DFD589">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38</w:t>
                  </w:r>
                </w:p>
              </w:tc>
              <w:tc>
                <w:tcPr>
                  <w:tcW w:w="995" w:type="dxa"/>
                  <w:vAlign w:val="center"/>
                </w:tcPr>
                <w:p w14:paraId="5EBAA4F0">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25</w:t>
                  </w:r>
                </w:p>
              </w:tc>
              <w:tc>
                <w:tcPr>
                  <w:tcW w:w="996" w:type="dxa"/>
                  <w:vAlign w:val="center"/>
                </w:tcPr>
                <w:p w14:paraId="6C8CA2E0">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12</w:t>
                  </w:r>
                </w:p>
              </w:tc>
            </w:tr>
            <w:tr w14:paraId="68023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continue"/>
                  <w:shd w:val="clear" w:color="auto" w:fill="auto"/>
                  <w:vAlign w:val="center"/>
                </w:tcPr>
                <w:p w14:paraId="4B044141">
                  <w:pPr>
                    <w:pStyle w:val="3"/>
                    <w:ind w:left="0" w:leftChars="0" w:firstLine="0" w:firstLineChars="0"/>
                    <w:jc w:val="center"/>
                    <w:rPr>
                      <w:rFonts w:hint="eastAsia" w:ascii="Times New Roman" w:hAnsi="Times New Roman" w:eastAsia="FangSong_GB2312" w:cs="Times New Roman"/>
                      <w:color w:val="0000FF"/>
                      <w:kern w:val="2"/>
                      <w:sz w:val="20"/>
                      <w:szCs w:val="20"/>
                      <w:highlight w:val="none"/>
                      <w:vertAlign w:val="baseline"/>
                      <w:lang w:val="en-US" w:eastAsia="zh-CN" w:bidi="ar-SA"/>
                    </w:rPr>
                  </w:pPr>
                </w:p>
              </w:tc>
              <w:tc>
                <w:tcPr>
                  <w:tcW w:w="971" w:type="dxa"/>
                  <w:shd w:val="clear" w:color="auto" w:fill="auto"/>
                  <w:vAlign w:val="center"/>
                </w:tcPr>
                <w:p w14:paraId="4AF8D229">
                  <w:pPr>
                    <w:pStyle w:val="3"/>
                    <w:ind w:left="0" w:leftChars="0" w:firstLine="0" w:firstLineChars="0"/>
                    <w:jc w:val="center"/>
                    <w:rPr>
                      <w:rFonts w:hint="eastAsia" w:ascii="Times New Roman" w:hAnsi="Times New Roman" w:eastAsia="FangSong_GB2312" w:cs="Times New Roman"/>
                      <w:color w:val="0000FF"/>
                      <w:kern w:val="2"/>
                      <w:sz w:val="20"/>
                      <w:szCs w:val="20"/>
                      <w:highlight w:val="none"/>
                      <w:vertAlign w:val="baseline"/>
                      <w:lang w:val="en-US" w:eastAsia="zh-CN" w:bidi="ar-SA"/>
                    </w:rPr>
                  </w:pPr>
                  <w:r>
                    <w:rPr>
                      <w:rFonts w:hint="eastAsia" w:ascii="Times New Roman" w:hAnsi="Times New Roman" w:cs="Times New Roman"/>
                      <w:color w:val="0000FF"/>
                      <w:sz w:val="20"/>
                      <w:szCs w:val="20"/>
                      <w:highlight w:val="none"/>
                      <w:vertAlign w:val="baseline"/>
                      <w:lang w:val="en-US" w:eastAsia="zh-CN"/>
                    </w:rPr>
                    <w:t>省部级</w:t>
                  </w:r>
                </w:p>
              </w:tc>
              <w:tc>
                <w:tcPr>
                  <w:tcW w:w="995" w:type="dxa"/>
                  <w:vAlign w:val="center"/>
                </w:tcPr>
                <w:p w14:paraId="39E97296">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38</w:t>
                  </w:r>
                </w:p>
              </w:tc>
              <w:tc>
                <w:tcPr>
                  <w:tcW w:w="995" w:type="dxa"/>
                  <w:vAlign w:val="center"/>
                </w:tcPr>
                <w:p w14:paraId="4CE62CD7">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32</w:t>
                  </w:r>
                </w:p>
              </w:tc>
              <w:tc>
                <w:tcPr>
                  <w:tcW w:w="995" w:type="dxa"/>
                  <w:vAlign w:val="center"/>
                </w:tcPr>
                <w:p w14:paraId="55EFDA61">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25</w:t>
                  </w:r>
                </w:p>
              </w:tc>
              <w:tc>
                <w:tcPr>
                  <w:tcW w:w="995" w:type="dxa"/>
                  <w:vAlign w:val="center"/>
                </w:tcPr>
                <w:p w14:paraId="539EC860">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18</w:t>
                  </w:r>
                </w:p>
              </w:tc>
              <w:tc>
                <w:tcPr>
                  <w:tcW w:w="995" w:type="dxa"/>
                  <w:vAlign w:val="center"/>
                </w:tcPr>
                <w:p w14:paraId="3B757727">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12</w:t>
                  </w:r>
                </w:p>
              </w:tc>
              <w:tc>
                <w:tcPr>
                  <w:tcW w:w="996" w:type="dxa"/>
                  <w:vAlign w:val="center"/>
                </w:tcPr>
                <w:p w14:paraId="5801B923">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6</w:t>
                  </w:r>
                </w:p>
              </w:tc>
            </w:tr>
            <w:tr w14:paraId="0DC7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continue"/>
                  <w:vAlign w:val="center"/>
                </w:tcPr>
                <w:p w14:paraId="5DF83325">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p>
              </w:tc>
              <w:tc>
                <w:tcPr>
                  <w:tcW w:w="971" w:type="dxa"/>
                  <w:shd w:val="clear" w:color="auto" w:fill="auto"/>
                  <w:vAlign w:val="center"/>
                </w:tcPr>
                <w:p w14:paraId="04F2100C">
                  <w:pPr>
                    <w:pStyle w:val="3"/>
                    <w:ind w:left="0" w:leftChars="0" w:firstLine="0" w:firstLineChars="0"/>
                    <w:jc w:val="center"/>
                    <w:rPr>
                      <w:rFonts w:hint="eastAsia" w:ascii="Times New Roman" w:hAnsi="Times New Roman" w:eastAsia="FangSong_GB2312" w:cs="Times New Roman"/>
                      <w:color w:val="0000FF"/>
                      <w:kern w:val="2"/>
                      <w:sz w:val="20"/>
                      <w:szCs w:val="20"/>
                      <w:highlight w:val="none"/>
                      <w:vertAlign w:val="baseline"/>
                      <w:lang w:val="en-US" w:eastAsia="zh-CN" w:bidi="ar-SA"/>
                    </w:rPr>
                  </w:pPr>
                  <w:r>
                    <w:rPr>
                      <w:rFonts w:hint="eastAsia" w:ascii="Times New Roman" w:hAnsi="Times New Roman" w:cs="Times New Roman"/>
                      <w:color w:val="0000FF"/>
                      <w:sz w:val="20"/>
                      <w:szCs w:val="20"/>
                      <w:highlight w:val="none"/>
                      <w:vertAlign w:val="baseline"/>
                      <w:lang w:val="en-US" w:eastAsia="zh-CN"/>
                    </w:rPr>
                    <w:t>地市级</w:t>
                  </w:r>
                </w:p>
              </w:tc>
              <w:tc>
                <w:tcPr>
                  <w:tcW w:w="995" w:type="dxa"/>
                  <w:vAlign w:val="center"/>
                </w:tcPr>
                <w:p w14:paraId="272DA53E">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18</w:t>
                  </w:r>
                </w:p>
              </w:tc>
              <w:tc>
                <w:tcPr>
                  <w:tcW w:w="995" w:type="dxa"/>
                  <w:vAlign w:val="center"/>
                </w:tcPr>
                <w:p w14:paraId="2104A360">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12</w:t>
                  </w:r>
                </w:p>
              </w:tc>
              <w:tc>
                <w:tcPr>
                  <w:tcW w:w="995" w:type="dxa"/>
                  <w:vAlign w:val="center"/>
                </w:tcPr>
                <w:p w14:paraId="57740669">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9</w:t>
                  </w:r>
                </w:p>
              </w:tc>
              <w:tc>
                <w:tcPr>
                  <w:tcW w:w="995" w:type="dxa"/>
                  <w:vAlign w:val="center"/>
                </w:tcPr>
                <w:p w14:paraId="5E8F14FD">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6</w:t>
                  </w:r>
                </w:p>
              </w:tc>
              <w:tc>
                <w:tcPr>
                  <w:tcW w:w="995" w:type="dxa"/>
                  <w:vAlign w:val="center"/>
                </w:tcPr>
                <w:p w14:paraId="1172187E">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4</w:t>
                  </w:r>
                </w:p>
              </w:tc>
              <w:tc>
                <w:tcPr>
                  <w:tcW w:w="996" w:type="dxa"/>
                  <w:vAlign w:val="center"/>
                </w:tcPr>
                <w:p w14:paraId="79302EF3">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2</w:t>
                  </w:r>
                </w:p>
              </w:tc>
            </w:tr>
            <w:tr w14:paraId="4C097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restart"/>
                  <w:vAlign w:val="center"/>
                </w:tcPr>
                <w:p w14:paraId="06966767">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三等级</w:t>
                  </w:r>
                </w:p>
              </w:tc>
              <w:tc>
                <w:tcPr>
                  <w:tcW w:w="971" w:type="dxa"/>
                  <w:shd w:val="clear" w:color="auto" w:fill="auto"/>
                  <w:vAlign w:val="center"/>
                </w:tcPr>
                <w:p w14:paraId="5EE7B22F">
                  <w:pPr>
                    <w:pStyle w:val="3"/>
                    <w:ind w:left="0" w:leftChars="0" w:firstLine="0" w:firstLineChars="0"/>
                    <w:jc w:val="center"/>
                    <w:rPr>
                      <w:rFonts w:hint="eastAsia" w:ascii="Times New Roman" w:hAnsi="Times New Roman" w:eastAsia="FangSong_GB2312" w:cs="Times New Roman"/>
                      <w:color w:val="0000FF"/>
                      <w:kern w:val="2"/>
                      <w:sz w:val="20"/>
                      <w:szCs w:val="20"/>
                      <w:highlight w:val="none"/>
                      <w:vertAlign w:val="baseline"/>
                      <w:lang w:val="en-US" w:eastAsia="zh-CN" w:bidi="ar-SA"/>
                    </w:rPr>
                  </w:pPr>
                  <w:r>
                    <w:rPr>
                      <w:rFonts w:hint="eastAsia" w:ascii="Times New Roman" w:hAnsi="Times New Roman" w:cs="Times New Roman"/>
                      <w:color w:val="0000FF"/>
                      <w:sz w:val="20"/>
                      <w:szCs w:val="20"/>
                      <w:highlight w:val="none"/>
                      <w:vertAlign w:val="baseline"/>
                      <w:lang w:val="en-US" w:eastAsia="zh-CN"/>
                    </w:rPr>
                    <w:t>国家级</w:t>
                  </w:r>
                </w:p>
              </w:tc>
              <w:tc>
                <w:tcPr>
                  <w:tcW w:w="995" w:type="dxa"/>
                  <w:vAlign w:val="center"/>
                </w:tcPr>
                <w:p w14:paraId="67A0CED9">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45</w:t>
                  </w:r>
                </w:p>
              </w:tc>
              <w:tc>
                <w:tcPr>
                  <w:tcW w:w="995" w:type="dxa"/>
                  <w:vAlign w:val="center"/>
                </w:tcPr>
                <w:p w14:paraId="483DABD3">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38</w:t>
                  </w:r>
                </w:p>
              </w:tc>
              <w:tc>
                <w:tcPr>
                  <w:tcW w:w="995" w:type="dxa"/>
                  <w:vAlign w:val="center"/>
                </w:tcPr>
                <w:p w14:paraId="2156422B">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32</w:t>
                  </w:r>
                </w:p>
              </w:tc>
              <w:tc>
                <w:tcPr>
                  <w:tcW w:w="995" w:type="dxa"/>
                  <w:vAlign w:val="center"/>
                </w:tcPr>
                <w:p w14:paraId="7F18181F">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24</w:t>
                  </w:r>
                </w:p>
              </w:tc>
              <w:tc>
                <w:tcPr>
                  <w:tcW w:w="995" w:type="dxa"/>
                  <w:vAlign w:val="center"/>
                </w:tcPr>
                <w:p w14:paraId="64E3AB60">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15</w:t>
                  </w:r>
                </w:p>
              </w:tc>
              <w:tc>
                <w:tcPr>
                  <w:tcW w:w="996" w:type="dxa"/>
                  <w:vAlign w:val="center"/>
                </w:tcPr>
                <w:p w14:paraId="3749D67E">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8</w:t>
                  </w:r>
                </w:p>
              </w:tc>
            </w:tr>
            <w:tr w14:paraId="7EE44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continue"/>
                  <w:vAlign w:val="center"/>
                </w:tcPr>
                <w:p w14:paraId="7D195C93">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p>
              </w:tc>
              <w:tc>
                <w:tcPr>
                  <w:tcW w:w="971" w:type="dxa"/>
                  <w:shd w:val="clear" w:color="auto" w:fill="auto"/>
                  <w:vAlign w:val="center"/>
                </w:tcPr>
                <w:p w14:paraId="37DCEC7D">
                  <w:pPr>
                    <w:pStyle w:val="3"/>
                    <w:ind w:left="0" w:leftChars="0" w:firstLine="0" w:firstLineChars="0"/>
                    <w:jc w:val="center"/>
                    <w:rPr>
                      <w:rFonts w:hint="eastAsia" w:ascii="Times New Roman" w:hAnsi="Times New Roman" w:eastAsia="FangSong_GB2312" w:cs="Times New Roman"/>
                      <w:color w:val="0000FF"/>
                      <w:kern w:val="2"/>
                      <w:sz w:val="20"/>
                      <w:szCs w:val="20"/>
                      <w:highlight w:val="none"/>
                      <w:vertAlign w:val="baseline"/>
                      <w:lang w:val="en-US" w:eastAsia="zh-CN" w:bidi="ar-SA"/>
                    </w:rPr>
                  </w:pPr>
                  <w:r>
                    <w:rPr>
                      <w:rFonts w:hint="eastAsia" w:ascii="Times New Roman" w:hAnsi="Times New Roman" w:cs="Times New Roman"/>
                      <w:color w:val="0000FF"/>
                      <w:sz w:val="20"/>
                      <w:szCs w:val="20"/>
                      <w:highlight w:val="none"/>
                      <w:vertAlign w:val="baseline"/>
                      <w:lang w:val="en-US" w:eastAsia="zh-CN"/>
                    </w:rPr>
                    <w:t>省部级</w:t>
                  </w:r>
                </w:p>
              </w:tc>
              <w:tc>
                <w:tcPr>
                  <w:tcW w:w="995" w:type="dxa"/>
                  <w:vAlign w:val="center"/>
                </w:tcPr>
                <w:p w14:paraId="74C046D6">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25</w:t>
                  </w:r>
                </w:p>
              </w:tc>
              <w:tc>
                <w:tcPr>
                  <w:tcW w:w="995" w:type="dxa"/>
                  <w:vAlign w:val="center"/>
                </w:tcPr>
                <w:p w14:paraId="38161FC3">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21</w:t>
                  </w:r>
                </w:p>
              </w:tc>
              <w:tc>
                <w:tcPr>
                  <w:tcW w:w="995" w:type="dxa"/>
                  <w:vAlign w:val="center"/>
                </w:tcPr>
                <w:p w14:paraId="106BDCD0">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17</w:t>
                  </w:r>
                </w:p>
              </w:tc>
              <w:tc>
                <w:tcPr>
                  <w:tcW w:w="995" w:type="dxa"/>
                  <w:vAlign w:val="center"/>
                </w:tcPr>
                <w:p w14:paraId="62164AF9">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12</w:t>
                  </w:r>
                </w:p>
              </w:tc>
              <w:tc>
                <w:tcPr>
                  <w:tcW w:w="995" w:type="dxa"/>
                  <w:vAlign w:val="center"/>
                </w:tcPr>
                <w:p w14:paraId="08737DB1">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8</w:t>
                  </w:r>
                </w:p>
              </w:tc>
              <w:tc>
                <w:tcPr>
                  <w:tcW w:w="996" w:type="dxa"/>
                  <w:vAlign w:val="center"/>
                </w:tcPr>
                <w:p w14:paraId="2D16C9F2">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4</w:t>
                  </w:r>
                </w:p>
              </w:tc>
            </w:tr>
            <w:tr w14:paraId="34B1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vMerge w:val="continue"/>
                  <w:vAlign w:val="center"/>
                </w:tcPr>
                <w:p w14:paraId="5920BE7B">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p>
              </w:tc>
              <w:tc>
                <w:tcPr>
                  <w:tcW w:w="971" w:type="dxa"/>
                  <w:shd w:val="clear" w:color="auto" w:fill="auto"/>
                  <w:vAlign w:val="center"/>
                </w:tcPr>
                <w:p w14:paraId="1446DC33">
                  <w:pPr>
                    <w:pStyle w:val="3"/>
                    <w:ind w:left="0" w:leftChars="0" w:firstLine="0" w:firstLineChars="0"/>
                    <w:jc w:val="center"/>
                    <w:rPr>
                      <w:rFonts w:hint="eastAsia" w:ascii="Times New Roman" w:hAnsi="Times New Roman" w:eastAsia="FangSong_GB2312" w:cs="Times New Roman"/>
                      <w:color w:val="0000FF"/>
                      <w:kern w:val="2"/>
                      <w:sz w:val="20"/>
                      <w:szCs w:val="20"/>
                      <w:highlight w:val="none"/>
                      <w:vertAlign w:val="baseline"/>
                      <w:lang w:val="en-US" w:eastAsia="zh-CN" w:bidi="ar-SA"/>
                    </w:rPr>
                  </w:pPr>
                  <w:r>
                    <w:rPr>
                      <w:rFonts w:hint="eastAsia" w:ascii="Times New Roman" w:hAnsi="Times New Roman" w:cs="Times New Roman"/>
                      <w:color w:val="0000FF"/>
                      <w:sz w:val="20"/>
                      <w:szCs w:val="20"/>
                      <w:highlight w:val="none"/>
                      <w:vertAlign w:val="baseline"/>
                      <w:lang w:val="en-US" w:eastAsia="zh-CN"/>
                    </w:rPr>
                    <w:t>地市级</w:t>
                  </w:r>
                </w:p>
              </w:tc>
              <w:tc>
                <w:tcPr>
                  <w:tcW w:w="995" w:type="dxa"/>
                  <w:vAlign w:val="center"/>
                </w:tcPr>
                <w:p w14:paraId="3CC7F94E">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10</w:t>
                  </w:r>
                </w:p>
              </w:tc>
              <w:tc>
                <w:tcPr>
                  <w:tcW w:w="995" w:type="dxa"/>
                  <w:vAlign w:val="center"/>
                </w:tcPr>
                <w:p w14:paraId="1316D604">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7</w:t>
                  </w:r>
                </w:p>
              </w:tc>
              <w:tc>
                <w:tcPr>
                  <w:tcW w:w="995" w:type="dxa"/>
                  <w:vAlign w:val="center"/>
                </w:tcPr>
                <w:p w14:paraId="4BFB9E75">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5</w:t>
                  </w:r>
                </w:p>
              </w:tc>
              <w:tc>
                <w:tcPr>
                  <w:tcW w:w="995" w:type="dxa"/>
                  <w:vAlign w:val="center"/>
                </w:tcPr>
                <w:p w14:paraId="2DDBE4EB">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2</w:t>
                  </w:r>
                </w:p>
              </w:tc>
              <w:tc>
                <w:tcPr>
                  <w:tcW w:w="995" w:type="dxa"/>
                  <w:vAlign w:val="center"/>
                </w:tcPr>
                <w:p w14:paraId="0D60DBCD">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w:t>
                  </w:r>
                </w:p>
              </w:tc>
              <w:tc>
                <w:tcPr>
                  <w:tcW w:w="996" w:type="dxa"/>
                  <w:vAlign w:val="center"/>
                </w:tcPr>
                <w:p w14:paraId="4A584327">
                  <w:pPr>
                    <w:pStyle w:val="3"/>
                    <w:ind w:left="0" w:leftChars="0" w:firstLine="0" w:firstLineChars="0"/>
                    <w:jc w:val="center"/>
                    <w:rPr>
                      <w:rFonts w:hint="eastAsia" w:ascii="Times New Roman" w:hAnsi="Times New Roman" w:cs="Times New Roman"/>
                      <w:color w:val="0000FF"/>
                      <w:sz w:val="20"/>
                      <w:szCs w:val="20"/>
                      <w:highlight w:val="none"/>
                      <w:vertAlign w:val="baseline"/>
                      <w:lang w:val="en-US" w:eastAsia="zh-CN"/>
                    </w:rPr>
                  </w:pPr>
                  <w:r>
                    <w:rPr>
                      <w:rFonts w:hint="eastAsia" w:ascii="Times New Roman" w:hAnsi="Times New Roman" w:cs="Times New Roman"/>
                      <w:color w:val="0000FF"/>
                      <w:sz w:val="20"/>
                      <w:szCs w:val="20"/>
                      <w:highlight w:val="none"/>
                      <w:vertAlign w:val="baseline"/>
                      <w:lang w:val="en-US" w:eastAsia="zh-CN"/>
                    </w:rPr>
                    <w:t>—</w:t>
                  </w:r>
                </w:p>
              </w:tc>
            </w:tr>
          </w:tbl>
          <w:p w14:paraId="196F4675">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yellow"/>
              </w:rPr>
            </w:pPr>
            <w:r>
              <w:rPr>
                <w:rFonts w:hint="eastAsia" w:ascii="Times New Roman" w:hAnsi="Times New Roman" w:cs="Times New Roman"/>
                <w:color w:val="auto"/>
                <w:sz w:val="24"/>
                <w:szCs w:val="24"/>
                <w:highlight w:val="yellow"/>
                <w:lang w:val="en-US" w:eastAsia="zh-CN"/>
              </w:rPr>
              <w:t>4</w:t>
            </w:r>
            <w:r>
              <w:rPr>
                <w:rFonts w:hint="eastAsia" w:ascii="Times New Roman" w:hAnsi="Times New Roman" w:cs="Times New Roman"/>
                <w:color w:val="auto"/>
                <w:sz w:val="24"/>
                <w:szCs w:val="24"/>
                <w:highlight w:val="yellow"/>
                <w:lang w:eastAsia="zh-CN"/>
              </w:rPr>
              <w:t>.</w:t>
            </w:r>
            <w:r>
              <w:rPr>
                <w:rFonts w:hint="eastAsia" w:ascii="Times New Roman" w:hAnsi="Times New Roman" w:cs="Times New Roman"/>
                <w:color w:val="auto"/>
                <w:sz w:val="24"/>
                <w:szCs w:val="24"/>
                <w:highlight w:val="yellow"/>
                <w:lang w:val="en-US" w:eastAsia="zh-CN"/>
              </w:rPr>
              <w:t>学科竞赛</w:t>
            </w:r>
            <w:r>
              <w:rPr>
                <w:rFonts w:hint="default" w:ascii="Times New Roman" w:hAnsi="Times New Roman" w:cs="Times New Roman"/>
                <w:color w:val="auto"/>
                <w:sz w:val="24"/>
                <w:szCs w:val="24"/>
                <w:highlight w:val="yellow"/>
              </w:rPr>
              <w:t>：</w:t>
            </w:r>
          </w:p>
          <w:p w14:paraId="53CBD62E">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cs="Times New Roman"/>
                <w:color w:val="FF0000"/>
                <w:sz w:val="24"/>
                <w:szCs w:val="24"/>
                <w:highlight w:val="none"/>
                <w:lang w:val="en-US"/>
              </w:rPr>
            </w:pPr>
            <w:r>
              <w:rPr>
                <w:rFonts w:hint="eastAsia" w:ascii="Times New Roman" w:hAnsi="Times New Roman" w:cs="Times New Roman"/>
                <w:i w:val="0"/>
                <w:iCs w:val="0"/>
                <w:caps w:val="0"/>
                <w:color w:val="auto"/>
                <w:spacing w:val="0"/>
                <w:sz w:val="24"/>
                <w:szCs w:val="24"/>
                <w:highlight w:val="none"/>
                <w:shd w:val="clear"/>
                <w:lang w:val="en-US" w:eastAsia="zh-CN"/>
              </w:rPr>
              <w:t>根据</w:t>
            </w:r>
            <w:r>
              <w:rPr>
                <w:rFonts w:ascii="Times New Roman" w:hAnsi="Times New Roman" w:eastAsia="宋体" w:cs="Times New Roman"/>
                <w:i w:val="0"/>
                <w:iCs w:val="0"/>
                <w:caps w:val="0"/>
                <w:color w:val="auto"/>
                <w:spacing w:val="0"/>
                <w:sz w:val="24"/>
                <w:szCs w:val="24"/>
                <w:highlight w:val="none"/>
                <w:shd w:val="clear"/>
              </w:rPr>
              <w:t>《</w:t>
            </w:r>
            <w:r>
              <w:rPr>
                <w:rFonts w:hint="default" w:ascii="Times New Roman" w:hAnsi="Times New Roman" w:eastAsia="宋体" w:cs="Times New Roman"/>
                <w:i w:val="0"/>
                <w:iCs w:val="0"/>
                <w:caps w:val="0"/>
                <w:color w:val="auto"/>
                <w:spacing w:val="0"/>
                <w:sz w:val="24"/>
                <w:szCs w:val="24"/>
                <w:highlight w:val="none"/>
                <w:shd w:val="clear"/>
              </w:rPr>
              <w:t>新疆农业大学研究生参加学科竞赛管理规定（试行）</w:t>
            </w:r>
            <w:r>
              <w:rPr>
                <w:rFonts w:hint="default" w:ascii="Times New Roman" w:hAnsi="Times New Roman" w:cs="Times New Roman"/>
                <w:b w:val="0"/>
                <w:bCs w:val="0"/>
                <w:color w:val="auto"/>
                <w:sz w:val="24"/>
                <w:szCs w:val="24"/>
                <w:highlight w:val="none"/>
                <w:lang w:eastAsia="zh-CN"/>
              </w:rPr>
              <w:t>》</w:t>
            </w:r>
            <w:r>
              <w:rPr>
                <w:rFonts w:hint="eastAsia" w:ascii="Times New Roman" w:hAnsi="Times New Roman" w:cs="Times New Roman"/>
                <w:b w:val="0"/>
                <w:bCs w:val="0"/>
                <w:color w:val="auto"/>
                <w:sz w:val="24"/>
                <w:szCs w:val="24"/>
                <w:highlight w:val="none"/>
                <w:lang w:eastAsia="zh-CN"/>
              </w:rPr>
              <w:t>，</w:t>
            </w:r>
            <w:r>
              <w:rPr>
                <w:rFonts w:hint="eastAsia" w:ascii="Times New Roman" w:hAnsi="Times New Roman" w:cs="Times New Roman"/>
                <w:b w:val="0"/>
                <w:bCs w:val="0"/>
                <w:color w:val="0000FF"/>
                <w:sz w:val="24"/>
                <w:szCs w:val="24"/>
                <w:highlight w:val="none"/>
                <w:lang w:val="en-US" w:eastAsia="zh-CN"/>
              </w:rPr>
              <w:t>一级、二级竞赛</w:t>
            </w:r>
            <w:r>
              <w:rPr>
                <w:rFonts w:hint="default" w:ascii="Times New Roman" w:hAnsi="Times New Roman" w:cs="Times New Roman"/>
                <w:color w:val="0000FF"/>
                <w:sz w:val="24"/>
                <w:szCs w:val="24"/>
                <w:highlight w:val="none"/>
              </w:rPr>
              <w:t>获得校级</w:t>
            </w:r>
            <w:r>
              <w:rPr>
                <w:rFonts w:hint="eastAsia" w:ascii="Times New Roman" w:hAnsi="Times New Roman" w:cs="Times New Roman"/>
                <w:color w:val="0000FF"/>
                <w:sz w:val="24"/>
                <w:szCs w:val="24"/>
                <w:highlight w:val="none"/>
                <w:lang w:val="en-US" w:eastAsia="zh-CN"/>
              </w:rPr>
              <w:t>选拔赛</w:t>
            </w:r>
            <w:r>
              <w:rPr>
                <w:rFonts w:hint="default" w:ascii="Times New Roman" w:hAnsi="Times New Roman" w:cs="Times New Roman"/>
                <w:color w:val="0000FF"/>
                <w:sz w:val="24"/>
                <w:szCs w:val="24"/>
                <w:highlight w:val="none"/>
              </w:rPr>
              <w:t>、自治区</w:t>
            </w:r>
            <w:r>
              <w:rPr>
                <w:rFonts w:hint="eastAsia" w:ascii="Times New Roman" w:hAnsi="Times New Roman" w:cs="Times New Roman"/>
                <w:color w:val="0000FF"/>
                <w:sz w:val="24"/>
                <w:szCs w:val="24"/>
                <w:highlight w:val="none"/>
                <w:lang w:val="en-US" w:eastAsia="zh-CN"/>
              </w:rPr>
              <w:t>赛</w:t>
            </w:r>
            <w:r>
              <w:rPr>
                <w:rFonts w:hint="default" w:ascii="Times New Roman" w:hAnsi="Times New Roman" w:cs="Times New Roman"/>
                <w:color w:val="0000FF"/>
                <w:sz w:val="24"/>
                <w:szCs w:val="24"/>
                <w:highlight w:val="none"/>
              </w:rPr>
              <w:t>、国家级</w:t>
            </w:r>
            <w:r>
              <w:rPr>
                <w:rFonts w:hint="eastAsia" w:ascii="Times New Roman" w:hAnsi="Times New Roman" w:cs="Times New Roman"/>
                <w:color w:val="0000FF"/>
                <w:sz w:val="24"/>
                <w:szCs w:val="24"/>
                <w:highlight w:val="none"/>
                <w:lang w:val="en-US" w:eastAsia="zh-CN"/>
              </w:rPr>
              <w:t>决赛</w:t>
            </w:r>
            <w:r>
              <w:rPr>
                <w:rFonts w:hint="default" w:ascii="Times New Roman" w:hAnsi="Times New Roman" w:cs="Times New Roman"/>
                <w:color w:val="0000FF"/>
                <w:sz w:val="24"/>
                <w:szCs w:val="24"/>
                <w:highlight w:val="none"/>
                <w:lang w:val="en-US" w:eastAsia="zh-CN"/>
              </w:rPr>
              <w:t>特等奖或一等奖</w:t>
            </w:r>
            <w:r>
              <w:rPr>
                <w:rFonts w:hint="default" w:ascii="Times New Roman" w:hAnsi="Times New Roman" w:cs="Times New Roman"/>
                <w:color w:val="0000FF"/>
                <w:sz w:val="24"/>
                <w:szCs w:val="24"/>
                <w:highlight w:val="none"/>
              </w:rPr>
              <w:t>分别计</w:t>
            </w:r>
            <w:r>
              <w:rPr>
                <w:rFonts w:hint="default" w:ascii="Times New Roman" w:hAnsi="Times New Roman" w:cs="Times New Roman"/>
                <w:color w:val="0000FF"/>
                <w:sz w:val="24"/>
                <w:szCs w:val="24"/>
                <w:highlight w:val="none"/>
                <w:lang w:val="en-US" w:eastAsia="zh-CN"/>
              </w:rPr>
              <w:t>7</w:t>
            </w:r>
            <w:r>
              <w:rPr>
                <w:rFonts w:hint="default" w:ascii="Times New Roman" w:hAnsi="Times New Roman" w:cs="Times New Roman"/>
                <w:color w:val="0000FF"/>
                <w:sz w:val="24"/>
                <w:szCs w:val="24"/>
                <w:highlight w:val="none"/>
              </w:rPr>
              <w:t>分、</w:t>
            </w:r>
            <w:r>
              <w:rPr>
                <w:rFonts w:hint="default" w:ascii="Times New Roman" w:hAnsi="Times New Roman" w:cs="Times New Roman"/>
                <w:color w:val="0000FF"/>
                <w:sz w:val="24"/>
                <w:szCs w:val="24"/>
                <w:highlight w:val="none"/>
                <w:lang w:val="en-US" w:eastAsia="zh-CN"/>
              </w:rPr>
              <w:t>10</w:t>
            </w:r>
            <w:r>
              <w:rPr>
                <w:rFonts w:hint="default" w:ascii="Times New Roman" w:hAnsi="Times New Roman" w:cs="Times New Roman"/>
                <w:color w:val="0000FF"/>
                <w:sz w:val="24"/>
                <w:szCs w:val="24"/>
                <w:highlight w:val="none"/>
              </w:rPr>
              <w:t>分、</w:t>
            </w:r>
            <w:r>
              <w:rPr>
                <w:rFonts w:hint="default" w:ascii="Times New Roman" w:hAnsi="Times New Roman" w:cs="Times New Roman"/>
                <w:color w:val="0000FF"/>
                <w:sz w:val="24"/>
                <w:szCs w:val="24"/>
                <w:highlight w:val="none"/>
                <w:lang w:val="en-US" w:eastAsia="zh-CN"/>
              </w:rPr>
              <w:t>20</w:t>
            </w:r>
            <w:r>
              <w:rPr>
                <w:rFonts w:hint="default" w:ascii="Times New Roman" w:hAnsi="Times New Roman" w:cs="Times New Roman"/>
                <w:color w:val="0000FF"/>
                <w:sz w:val="24"/>
                <w:szCs w:val="24"/>
                <w:highlight w:val="none"/>
              </w:rPr>
              <w:t>分</w:t>
            </w:r>
            <w:r>
              <w:rPr>
                <w:rFonts w:hint="default" w:ascii="Times New Roman" w:hAnsi="Times New Roman" w:cs="Times New Roman"/>
                <w:color w:val="0000FF"/>
                <w:sz w:val="24"/>
                <w:szCs w:val="24"/>
                <w:highlight w:val="none"/>
                <w:lang w:eastAsia="zh-CN"/>
              </w:rPr>
              <w:t>；</w:t>
            </w:r>
            <w:r>
              <w:rPr>
                <w:rFonts w:hint="default" w:ascii="Times New Roman" w:hAnsi="Times New Roman" w:cs="Times New Roman"/>
                <w:color w:val="0000FF"/>
                <w:sz w:val="24"/>
                <w:szCs w:val="24"/>
                <w:highlight w:val="none"/>
                <w:lang w:val="en-US" w:eastAsia="zh-CN"/>
              </w:rPr>
              <w:t>二等奖分别计5</w:t>
            </w:r>
            <w:r>
              <w:rPr>
                <w:rFonts w:hint="default" w:ascii="Times New Roman" w:hAnsi="Times New Roman" w:cs="Times New Roman"/>
                <w:color w:val="0000FF"/>
                <w:sz w:val="24"/>
                <w:szCs w:val="24"/>
                <w:highlight w:val="none"/>
              </w:rPr>
              <w:t>分、</w:t>
            </w:r>
            <w:r>
              <w:rPr>
                <w:rFonts w:hint="default" w:ascii="Times New Roman" w:hAnsi="Times New Roman" w:cs="Times New Roman"/>
                <w:color w:val="0000FF"/>
                <w:sz w:val="24"/>
                <w:szCs w:val="24"/>
                <w:highlight w:val="none"/>
                <w:lang w:val="en-US" w:eastAsia="zh-CN"/>
              </w:rPr>
              <w:t>8</w:t>
            </w:r>
            <w:r>
              <w:rPr>
                <w:rFonts w:hint="default" w:ascii="Times New Roman" w:hAnsi="Times New Roman" w:cs="Times New Roman"/>
                <w:color w:val="0000FF"/>
                <w:sz w:val="24"/>
                <w:szCs w:val="24"/>
                <w:highlight w:val="none"/>
              </w:rPr>
              <w:t>分、</w:t>
            </w:r>
            <w:r>
              <w:rPr>
                <w:rFonts w:hint="default" w:ascii="Times New Roman" w:hAnsi="Times New Roman" w:cs="Times New Roman"/>
                <w:color w:val="0000FF"/>
                <w:sz w:val="24"/>
                <w:szCs w:val="24"/>
                <w:highlight w:val="none"/>
                <w:lang w:val="en-US" w:eastAsia="zh-CN"/>
              </w:rPr>
              <w:t>15</w:t>
            </w:r>
            <w:r>
              <w:rPr>
                <w:rFonts w:hint="default" w:ascii="Times New Roman" w:hAnsi="Times New Roman" w:cs="Times New Roman"/>
                <w:color w:val="0000FF"/>
                <w:sz w:val="24"/>
                <w:szCs w:val="24"/>
                <w:highlight w:val="none"/>
              </w:rPr>
              <w:t>分</w:t>
            </w:r>
            <w:r>
              <w:rPr>
                <w:rFonts w:hint="default" w:ascii="Times New Roman" w:hAnsi="Times New Roman" w:cs="Times New Roman"/>
                <w:color w:val="0000FF"/>
                <w:sz w:val="24"/>
                <w:szCs w:val="24"/>
                <w:highlight w:val="none"/>
                <w:lang w:eastAsia="zh-CN"/>
              </w:rPr>
              <w:t>；</w:t>
            </w:r>
            <w:r>
              <w:rPr>
                <w:rFonts w:hint="default" w:ascii="Times New Roman" w:hAnsi="Times New Roman" w:cs="Times New Roman"/>
                <w:color w:val="0000FF"/>
                <w:sz w:val="24"/>
                <w:szCs w:val="24"/>
                <w:highlight w:val="none"/>
                <w:lang w:val="en-US" w:eastAsia="zh-CN"/>
              </w:rPr>
              <w:t>三等奖分别计3分、5分、10分；优秀奖分别计1分、3分、5分</w:t>
            </w:r>
            <w:r>
              <w:rPr>
                <w:rFonts w:hint="default" w:ascii="Times New Roman" w:hAnsi="Times New Roman" w:cs="Times New Roman"/>
                <w:color w:val="0000FF"/>
                <w:sz w:val="24"/>
                <w:szCs w:val="24"/>
                <w:highlight w:val="none"/>
              </w:rPr>
              <w:t>。</w:t>
            </w:r>
            <w:r>
              <w:rPr>
                <w:rFonts w:hint="eastAsia" w:ascii="Times New Roman" w:hAnsi="Times New Roman" w:cs="Times New Roman"/>
                <w:color w:val="0000FF"/>
                <w:sz w:val="24"/>
                <w:szCs w:val="24"/>
                <w:highlight w:val="none"/>
                <w:lang w:val="en-US" w:eastAsia="zh-CN"/>
              </w:rPr>
              <w:t>三级竞赛</w:t>
            </w:r>
            <w:r>
              <w:rPr>
                <w:rFonts w:hint="default" w:ascii="Times New Roman" w:hAnsi="Times New Roman" w:cs="Times New Roman"/>
                <w:color w:val="0000FF"/>
                <w:sz w:val="24"/>
                <w:szCs w:val="24"/>
                <w:highlight w:val="none"/>
              </w:rPr>
              <w:t>获得校级</w:t>
            </w:r>
            <w:r>
              <w:rPr>
                <w:rFonts w:hint="eastAsia" w:ascii="Times New Roman" w:hAnsi="Times New Roman" w:cs="Times New Roman"/>
                <w:color w:val="0000FF"/>
                <w:sz w:val="24"/>
                <w:szCs w:val="24"/>
                <w:highlight w:val="none"/>
                <w:lang w:val="en-US" w:eastAsia="zh-CN"/>
              </w:rPr>
              <w:t>选拔赛</w:t>
            </w:r>
            <w:r>
              <w:rPr>
                <w:rFonts w:hint="default" w:ascii="Times New Roman" w:hAnsi="Times New Roman" w:cs="Times New Roman"/>
                <w:color w:val="0000FF"/>
                <w:sz w:val="24"/>
                <w:szCs w:val="24"/>
                <w:highlight w:val="none"/>
              </w:rPr>
              <w:t>、自治区</w:t>
            </w:r>
            <w:r>
              <w:rPr>
                <w:rFonts w:hint="eastAsia" w:ascii="Times New Roman" w:hAnsi="Times New Roman" w:cs="Times New Roman"/>
                <w:color w:val="0000FF"/>
                <w:sz w:val="24"/>
                <w:szCs w:val="24"/>
                <w:highlight w:val="none"/>
                <w:lang w:val="en-US" w:eastAsia="zh-CN"/>
              </w:rPr>
              <w:t>赛</w:t>
            </w:r>
            <w:r>
              <w:rPr>
                <w:rFonts w:hint="default" w:ascii="Times New Roman" w:hAnsi="Times New Roman" w:cs="Times New Roman"/>
                <w:color w:val="0000FF"/>
                <w:sz w:val="24"/>
                <w:szCs w:val="24"/>
                <w:highlight w:val="none"/>
              </w:rPr>
              <w:t>、国家级</w:t>
            </w:r>
            <w:r>
              <w:rPr>
                <w:rFonts w:hint="eastAsia" w:ascii="Times New Roman" w:hAnsi="Times New Roman" w:cs="Times New Roman"/>
                <w:color w:val="0000FF"/>
                <w:sz w:val="24"/>
                <w:szCs w:val="24"/>
                <w:highlight w:val="none"/>
                <w:lang w:val="en-US" w:eastAsia="zh-CN"/>
              </w:rPr>
              <w:t>决赛</w:t>
            </w:r>
            <w:r>
              <w:rPr>
                <w:rFonts w:hint="default" w:ascii="Times New Roman" w:hAnsi="Times New Roman" w:cs="Times New Roman"/>
                <w:color w:val="0000FF"/>
                <w:sz w:val="24"/>
                <w:szCs w:val="24"/>
                <w:highlight w:val="none"/>
                <w:lang w:val="en-US" w:eastAsia="zh-CN"/>
              </w:rPr>
              <w:t>特等奖或一等奖</w:t>
            </w:r>
            <w:r>
              <w:rPr>
                <w:rFonts w:hint="default" w:ascii="Times New Roman" w:hAnsi="Times New Roman" w:cs="Times New Roman"/>
                <w:color w:val="0000FF"/>
                <w:sz w:val="24"/>
                <w:szCs w:val="24"/>
                <w:highlight w:val="none"/>
              </w:rPr>
              <w:t>分别计</w:t>
            </w:r>
            <w:r>
              <w:rPr>
                <w:rFonts w:hint="eastAsia" w:ascii="Times New Roman" w:hAnsi="Times New Roman" w:cs="Times New Roman"/>
                <w:color w:val="0000FF"/>
                <w:sz w:val="24"/>
                <w:szCs w:val="24"/>
                <w:highlight w:val="none"/>
                <w:lang w:val="en-US" w:eastAsia="zh-CN"/>
              </w:rPr>
              <w:t>5</w:t>
            </w:r>
            <w:r>
              <w:rPr>
                <w:rFonts w:hint="default" w:ascii="Times New Roman" w:hAnsi="Times New Roman" w:cs="Times New Roman"/>
                <w:color w:val="0000FF"/>
                <w:sz w:val="24"/>
                <w:szCs w:val="24"/>
                <w:highlight w:val="none"/>
              </w:rPr>
              <w:t>分、</w:t>
            </w:r>
            <w:r>
              <w:rPr>
                <w:rFonts w:hint="eastAsia" w:ascii="Times New Roman" w:hAnsi="Times New Roman" w:cs="Times New Roman"/>
                <w:color w:val="0000FF"/>
                <w:sz w:val="24"/>
                <w:szCs w:val="24"/>
                <w:highlight w:val="none"/>
                <w:lang w:val="en-US" w:eastAsia="zh-CN"/>
              </w:rPr>
              <w:t>8</w:t>
            </w:r>
            <w:r>
              <w:rPr>
                <w:rFonts w:hint="default" w:ascii="Times New Roman" w:hAnsi="Times New Roman" w:cs="Times New Roman"/>
                <w:color w:val="0000FF"/>
                <w:sz w:val="24"/>
                <w:szCs w:val="24"/>
                <w:highlight w:val="none"/>
              </w:rPr>
              <w:t>分、</w:t>
            </w:r>
            <w:r>
              <w:rPr>
                <w:rFonts w:hint="eastAsia" w:ascii="Times New Roman" w:hAnsi="Times New Roman" w:cs="Times New Roman"/>
                <w:color w:val="0000FF"/>
                <w:sz w:val="24"/>
                <w:szCs w:val="24"/>
                <w:highlight w:val="none"/>
                <w:lang w:val="en-US" w:eastAsia="zh-CN"/>
              </w:rPr>
              <w:t>15</w:t>
            </w:r>
            <w:r>
              <w:rPr>
                <w:rFonts w:hint="default" w:ascii="Times New Roman" w:hAnsi="Times New Roman" w:cs="Times New Roman"/>
                <w:color w:val="0000FF"/>
                <w:sz w:val="24"/>
                <w:szCs w:val="24"/>
                <w:highlight w:val="none"/>
              </w:rPr>
              <w:t>分</w:t>
            </w:r>
            <w:r>
              <w:rPr>
                <w:rFonts w:hint="default" w:ascii="Times New Roman" w:hAnsi="Times New Roman" w:cs="Times New Roman"/>
                <w:color w:val="0000FF"/>
                <w:sz w:val="24"/>
                <w:szCs w:val="24"/>
                <w:highlight w:val="none"/>
                <w:lang w:eastAsia="zh-CN"/>
              </w:rPr>
              <w:t>；</w:t>
            </w:r>
            <w:r>
              <w:rPr>
                <w:rFonts w:hint="default" w:ascii="Times New Roman" w:hAnsi="Times New Roman" w:cs="Times New Roman"/>
                <w:color w:val="0000FF"/>
                <w:sz w:val="24"/>
                <w:szCs w:val="24"/>
                <w:highlight w:val="none"/>
                <w:lang w:val="en-US" w:eastAsia="zh-CN"/>
              </w:rPr>
              <w:t>二等奖分别计</w:t>
            </w:r>
            <w:r>
              <w:rPr>
                <w:rFonts w:hint="eastAsia" w:ascii="Times New Roman" w:hAnsi="Times New Roman" w:cs="Times New Roman"/>
                <w:color w:val="0000FF"/>
                <w:sz w:val="24"/>
                <w:szCs w:val="24"/>
                <w:highlight w:val="none"/>
                <w:lang w:val="en-US" w:eastAsia="zh-CN"/>
              </w:rPr>
              <w:t>3</w:t>
            </w:r>
            <w:r>
              <w:rPr>
                <w:rFonts w:hint="default" w:ascii="Times New Roman" w:hAnsi="Times New Roman" w:cs="Times New Roman"/>
                <w:color w:val="0000FF"/>
                <w:sz w:val="24"/>
                <w:szCs w:val="24"/>
                <w:highlight w:val="none"/>
              </w:rPr>
              <w:t>分、</w:t>
            </w:r>
            <w:r>
              <w:rPr>
                <w:rFonts w:hint="eastAsia" w:ascii="Times New Roman" w:hAnsi="Times New Roman" w:cs="Times New Roman"/>
                <w:color w:val="0000FF"/>
                <w:sz w:val="24"/>
                <w:szCs w:val="24"/>
                <w:highlight w:val="none"/>
                <w:lang w:val="en-US" w:eastAsia="zh-CN"/>
              </w:rPr>
              <w:t>5</w:t>
            </w:r>
            <w:r>
              <w:rPr>
                <w:rFonts w:hint="default" w:ascii="Times New Roman" w:hAnsi="Times New Roman" w:cs="Times New Roman"/>
                <w:color w:val="0000FF"/>
                <w:sz w:val="24"/>
                <w:szCs w:val="24"/>
                <w:highlight w:val="none"/>
              </w:rPr>
              <w:t>分、</w:t>
            </w:r>
            <w:r>
              <w:rPr>
                <w:rFonts w:hint="default" w:ascii="Times New Roman" w:hAnsi="Times New Roman" w:cs="Times New Roman"/>
                <w:color w:val="0000FF"/>
                <w:sz w:val="24"/>
                <w:szCs w:val="24"/>
                <w:highlight w:val="none"/>
                <w:lang w:val="en-US" w:eastAsia="zh-CN"/>
              </w:rPr>
              <w:t>1</w:t>
            </w:r>
            <w:r>
              <w:rPr>
                <w:rFonts w:hint="eastAsia" w:ascii="Times New Roman" w:hAnsi="Times New Roman" w:cs="Times New Roman"/>
                <w:color w:val="0000FF"/>
                <w:sz w:val="24"/>
                <w:szCs w:val="24"/>
                <w:highlight w:val="none"/>
                <w:lang w:val="en-US" w:eastAsia="zh-CN"/>
              </w:rPr>
              <w:t>0</w:t>
            </w:r>
            <w:r>
              <w:rPr>
                <w:rFonts w:hint="default" w:ascii="Times New Roman" w:hAnsi="Times New Roman" w:cs="Times New Roman"/>
                <w:color w:val="0000FF"/>
                <w:sz w:val="24"/>
                <w:szCs w:val="24"/>
                <w:highlight w:val="none"/>
              </w:rPr>
              <w:t>分</w:t>
            </w:r>
            <w:r>
              <w:rPr>
                <w:rFonts w:hint="default" w:ascii="Times New Roman" w:hAnsi="Times New Roman" w:cs="Times New Roman"/>
                <w:color w:val="0000FF"/>
                <w:sz w:val="24"/>
                <w:szCs w:val="24"/>
                <w:highlight w:val="none"/>
                <w:lang w:eastAsia="zh-CN"/>
              </w:rPr>
              <w:t>；</w:t>
            </w:r>
            <w:r>
              <w:rPr>
                <w:rFonts w:hint="default" w:ascii="Times New Roman" w:hAnsi="Times New Roman" w:cs="Times New Roman"/>
                <w:color w:val="0000FF"/>
                <w:sz w:val="24"/>
                <w:szCs w:val="24"/>
                <w:highlight w:val="none"/>
                <w:lang w:val="en-US" w:eastAsia="zh-CN"/>
              </w:rPr>
              <w:t>三等奖分别计</w:t>
            </w:r>
            <w:r>
              <w:rPr>
                <w:rFonts w:hint="eastAsia" w:ascii="Times New Roman" w:hAnsi="Times New Roman" w:cs="Times New Roman"/>
                <w:color w:val="0000FF"/>
                <w:sz w:val="24"/>
                <w:szCs w:val="24"/>
                <w:highlight w:val="none"/>
                <w:lang w:val="en-US" w:eastAsia="zh-CN"/>
              </w:rPr>
              <w:t>2</w:t>
            </w:r>
            <w:r>
              <w:rPr>
                <w:rFonts w:hint="default" w:ascii="Times New Roman" w:hAnsi="Times New Roman" w:cs="Times New Roman"/>
                <w:color w:val="0000FF"/>
                <w:sz w:val="24"/>
                <w:szCs w:val="24"/>
                <w:highlight w:val="none"/>
                <w:lang w:val="en-US" w:eastAsia="zh-CN"/>
              </w:rPr>
              <w:t>分、</w:t>
            </w:r>
            <w:r>
              <w:rPr>
                <w:rFonts w:hint="eastAsia" w:ascii="Times New Roman" w:hAnsi="Times New Roman" w:cs="Times New Roman"/>
                <w:color w:val="0000FF"/>
                <w:sz w:val="24"/>
                <w:szCs w:val="24"/>
                <w:highlight w:val="none"/>
                <w:lang w:val="en-US" w:eastAsia="zh-CN"/>
              </w:rPr>
              <w:t>3</w:t>
            </w:r>
            <w:r>
              <w:rPr>
                <w:rFonts w:hint="default" w:ascii="Times New Roman" w:hAnsi="Times New Roman" w:cs="Times New Roman"/>
                <w:color w:val="0000FF"/>
                <w:sz w:val="24"/>
                <w:szCs w:val="24"/>
                <w:highlight w:val="none"/>
                <w:lang w:val="en-US" w:eastAsia="zh-CN"/>
              </w:rPr>
              <w:t>分、</w:t>
            </w:r>
            <w:r>
              <w:rPr>
                <w:rFonts w:hint="eastAsia" w:ascii="Times New Roman" w:hAnsi="Times New Roman" w:cs="Times New Roman"/>
                <w:color w:val="0000FF"/>
                <w:sz w:val="24"/>
                <w:szCs w:val="24"/>
                <w:highlight w:val="none"/>
                <w:lang w:val="en-US" w:eastAsia="zh-CN"/>
              </w:rPr>
              <w:t>5</w:t>
            </w:r>
            <w:r>
              <w:rPr>
                <w:rFonts w:hint="default" w:ascii="Times New Roman" w:hAnsi="Times New Roman" w:cs="Times New Roman"/>
                <w:color w:val="0000FF"/>
                <w:sz w:val="24"/>
                <w:szCs w:val="24"/>
                <w:highlight w:val="none"/>
                <w:lang w:val="en-US" w:eastAsia="zh-CN"/>
              </w:rPr>
              <w:t>分；优秀奖分别计1分、</w:t>
            </w:r>
            <w:r>
              <w:rPr>
                <w:rFonts w:hint="eastAsia" w:ascii="Times New Roman" w:hAnsi="Times New Roman" w:cs="Times New Roman"/>
                <w:color w:val="0000FF"/>
                <w:sz w:val="24"/>
                <w:szCs w:val="24"/>
                <w:highlight w:val="none"/>
                <w:lang w:val="en-US" w:eastAsia="zh-CN"/>
              </w:rPr>
              <w:t>2</w:t>
            </w:r>
            <w:r>
              <w:rPr>
                <w:rFonts w:hint="default" w:ascii="Times New Roman" w:hAnsi="Times New Roman" w:cs="Times New Roman"/>
                <w:color w:val="0000FF"/>
                <w:sz w:val="24"/>
                <w:szCs w:val="24"/>
                <w:highlight w:val="none"/>
                <w:lang w:val="en-US" w:eastAsia="zh-CN"/>
              </w:rPr>
              <w:t>分、</w:t>
            </w:r>
            <w:r>
              <w:rPr>
                <w:rFonts w:hint="eastAsia" w:ascii="Times New Roman" w:hAnsi="Times New Roman" w:cs="Times New Roman"/>
                <w:color w:val="0000FF"/>
                <w:sz w:val="24"/>
                <w:szCs w:val="24"/>
                <w:highlight w:val="none"/>
                <w:lang w:val="en-US" w:eastAsia="zh-CN"/>
              </w:rPr>
              <w:t>3</w:t>
            </w:r>
            <w:r>
              <w:rPr>
                <w:rFonts w:hint="default" w:ascii="Times New Roman" w:hAnsi="Times New Roman" w:cs="Times New Roman"/>
                <w:color w:val="0000FF"/>
                <w:sz w:val="24"/>
                <w:szCs w:val="24"/>
                <w:highlight w:val="none"/>
                <w:lang w:val="en-US" w:eastAsia="zh-CN"/>
              </w:rPr>
              <w:t>分</w:t>
            </w:r>
            <w:r>
              <w:rPr>
                <w:rFonts w:hint="eastAsia" w:ascii="Times New Roman" w:hAnsi="Times New Roman" w:cs="Times New Roman"/>
                <w:color w:val="0000FF"/>
                <w:sz w:val="24"/>
                <w:szCs w:val="24"/>
                <w:highlight w:val="none"/>
                <w:lang w:val="en-US" w:eastAsia="zh-CN"/>
              </w:rPr>
              <w:t>。</w:t>
            </w:r>
            <w:r>
              <w:rPr>
                <w:rFonts w:hint="default" w:ascii="Times New Roman" w:hAnsi="Times New Roman" w:cs="Times New Roman"/>
                <w:color w:val="auto"/>
                <w:sz w:val="24"/>
                <w:szCs w:val="24"/>
                <w:highlight w:val="none"/>
                <w:lang w:val="en-US" w:eastAsia="zh-CN"/>
              </w:rPr>
              <w:t>集体奖励的参与人不区分排名，按上述标准的</w:t>
            </w:r>
            <w:r>
              <w:rPr>
                <w:rFonts w:hint="default" w:ascii="Times New Roman" w:hAnsi="Times New Roman" w:cs="Times New Roman"/>
                <w:color w:val="auto"/>
                <w:sz w:val="24"/>
                <w:szCs w:val="24"/>
                <w:highlight w:val="none"/>
              </w:rPr>
              <w:t>50%</w:t>
            </w:r>
            <w:r>
              <w:rPr>
                <w:rFonts w:hint="default" w:ascii="Times New Roman" w:hAnsi="Times New Roman" w:cs="Times New Roman"/>
                <w:color w:val="auto"/>
                <w:sz w:val="24"/>
                <w:szCs w:val="24"/>
                <w:highlight w:val="none"/>
                <w:lang w:val="en-US" w:eastAsia="zh-CN"/>
              </w:rPr>
              <w:t>认定（不足1分按1分算）</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同一项目不累计加分，以最高级记分。以往各类奖助学金证书不予认定。</w:t>
            </w:r>
            <w:r>
              <w:rPr>
                <w:rFonts w:hint="default" w:ascii="Times New Roman" w:hAnsi="Times New Roman" w:cs="Times New Roman"/>
                <w:color w:val="auto"/>
                <w:sz w:val="24"/>
                <w:szCs w:val="24"/>
                <w:highlight w:val="none"/>
              </w:rPr>
              <w:t>若</w:t>
            </w:r>
            <w:r>
              <w:rPr>
                <w:rFonts w:hint="eastAsia" w:ascii="Times New Roman" w:hAnsi="Times New Roman" w:cs="Times New Roman"/>
                <w:color w:val="auto"/>
                <w:sz w:val="24"/>
                <w:szCs w:val="24"/>
                <w:highlight w:val="none"/>
                <w:lang w:val="en-US" w:eastAsia="zh-CN"/>
              </w:rPr>
              <w:t>相关学科竞赛不在《</w:t>
            </w:r>
            <w:r>
              <w:rPr>
                <w:rFonts w:hint="default" w:ascii="Times New Roman" w:hAnsi="Times New Roman" w:eastAsia="宋体" w:cs="Times New Roman"/>
                <w:i w:val="0"/>
                <w:iCs w:val="0"/>
                <w:caps w:val="0"/>
                <w:color w:val="auto"/>
                <w:spacing w:val="0"/>
                <w:sz w:val="24"/>
                <w:szCs w:val="24"/>
                <w:highlight w:val="none"/>
                <w:shd w:val="clear"/>
              </w:rPr>
              <w:t>新疆农业大学研究生参加学科竞赛管理规定（试行）</w:t>
            </w:r>
            <w:r>
              <w:rPr>
                <w:rFonts w:hint="eastAsia" w:ascii="Times New Roman" w:hAnsi="Times New Roman" w:cs="Times New Roman"/>
                <w:color w:val="auto"/>
                <w:sz w:val="24"/>
                <w:szCs w:val="24"/>
                <w:highlight w:val="none"/>
                <w:lang w:val="en-US" w:eastAsia="zh-CN"/>
              </w:rPr>
              <w:t>》范围内，则</w:t>
            </w:r>
            <w:r>
              <w:rPr>
                <w:rFonts w:hint="default" w:ascii="Times New Roman" w:hAnsi="Times New Roman" w:cs="Times New Roman"/>
                <w:color w:val="auto"/>
                <w:sz w:val="24"/>
                <w:szCs w:val="24"/>
                <w:highlight w:val="none"/>
              </w:rPr>
              <w:t>由学院评审委员会</w:t>
            </w:r>
            <w:r>
              <w:rPr>
                <w:rFonts w:hint="eastAsia" w:ascii="Times New Roman" w:hAnsi="Times New Roman" w:cs="Times New Roman"/>
                <w:color w:val="auto"/>
                <w:sz w:val="24"/>
                <w:szCs w:val="24"/>
                <w:highlight w:val="none"/>
                <w:lang w:val="en-US" w:eastAsia="zh-CN"/>
              </w:rPr>
              <w:t>认定竞赛等级后予以认定（或不予认定）。</w:t>
            </w:r>
          </w:p>
          <w:p w14:paraId="37EC3E4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5</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学术交流：</w:t>
            </w:r>
          </w:p>
          <w:p w14:paraId="53278298">
            <w:pPr>
              <w:keepNext w:val="0"/>
              <w:keepLines w:val="0"/>
              <w:pageBreakBefore w:val="0"/>
              <w:wordWrap/>
              <w:overflowPunct/>
              <w:topLinePunct w:val="0"/>
              <w:bidi w:val="0"/>
              <w:adjustRightInd/>
              <w:snapToGrid/>
              <w:spacing w:line="300" w:lineRule="auto"/>
              <w:ind w:firstLine="480" w:firstLineChars="200"/>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1</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在国际学术会议上作报告计6分，</w:t>
            </w:r>
            <w:r>
              <w:rPr>
                <w:rFonts w:hint="eastAsia" w:ascii="Times New Roman" w:hAnsi="Times New Roman" w:cs="Times New Roman"/>
                <w:color w:val="auto"/>
                <w:sz w:val="24"/>
                <w:szCs w:val="24"/>
                <w:highlight w:val="none"/>
                <w:lang w:val="en-US" w:eastAsia="zh-CN"/>
              </w:rPr>
              <w:t>获得优秀汇报奖的计10分；</w:t>
            </w:r>
            <w:r>
              <w:rPr>
                <w:rFonts w:hint="default" w:ascii="Times New Roman" w:hAnsi="Times New Roman" w:cs="Times New Roman"/>
                <w:color w:val="auto"/>
                <w:sz w:val="24"/>
                <w:szCs w:val="24"/>
                <w:highlight w:val="none"/>
              </w:rPr>
              <w:t>在国内会议</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国内会议必须为全国性会议或其分会</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上作报告计4分，</w:t>
            </w:r>
            <w:r>
              <w:rPr>
                <w:rFonts w:hint="eastAsia" w:ascii="Times New Roman" w:hAnsi="Times New Roman" w:cs="Times New Roman"/>
                <w:color w:val="auto"/>
                <w:sz w:val="24"/>
                <w:szCs w:val="24"/>
                <w:highlight w:val="none"/>
                <w:lang w:val="en-US" w:eastAsia="zh-CN"/>
              </w:rPr>
              <w:t>获得优秀汇报奖的计7分</w:t>
            </w:r>
            <w:r>
              <w:rPr>
                <w:rFonts w:hint="eastAsia" w:ascii="Times New Roman" w:hAnsi="Times New Roman" w:cs="Times New Roman"/>
                <w:color w:val="auto"/>
                <w:sz w:val="24"/>
                <w:szCs w:val="24"/>
                <w:highlight w:val="none"/>
                <w:lang w:eastAsia="zh-CN"/>
              </w:rPr>
              <w:t>；在</w:t>
            </w:r>
            <w:r>
              <w:rPr>
                <w:rFonts w:hint="default" w:ascii="Times New Roman" w:hAnsi="Times New Roman" w:cs="Times New Roman"/>
                <w:color w:val="auto"/>
                <w:sz w:val="24"/>
                <w:szCs w:val="24"/>
                <w:highlight w:val="none"/>
              </w:rPr>
              <w:t>自治区</w:t>
            </w:r>
            <w:r>
              <w:rPr>
                <w:rFonts w:hint="default" w:ascii="Times New Roman" w:hAnsi="Times New Roman" w:cs="Times New Roman"/>
                <w:color w:val="auto"/>
                <w:sz w:val="24"/>
                <w:szCs w:val="24"/>
                <w:highlight w:val="none"/>
                <w:lang w:val="en-US" w:eastAsia="zh-CN"/>
              </w:rPr>
              <w:t>学术会议</w:t>
            </w:r>
            <w:r>
              <w:rPr>
                <w:rFonts w:hint="default" w:ascii="Times New Roman" w:hAnsi="Times New Roman" w:cs="Times New Roman"/>
                <w:color w:val="auto"/>
                <w:sz w:val="24"/>
                <w:szCs w:val="24"/>
                <w:highlight w:val="none"/>
              </w:rPr>
              <w:t>论</w:t>
            </w:r>
            <w:r>
              <w:rPr>
                <w:rFonts w:hint="eastAsia" w:ascii="Times New Roman" w:hAnsi="Times New Roman" w:cs="Times New Roman"/>
                <w:color w:val="auto"/>
                <w:sz w:val="24"/>
                <w:szCs w:val="24"/>
                <w:highlight w:val="none"/>
                <w:lang w:eastAsia="zh-CN"/>
              </w:rPr>
              <w:t>坛上</w:t>
            </w:r>
            <w:r>
              <w:rPr>
                <w:rFonts w:hint="default" w:ascii="Times New Roman" w:hAnsi="Times New Roman" w:cs="Times New Roman"/>
                <w:color w:val="auto"/>
                <w:sz w:val="24"/>
                <w:szCs w:val="24"/>
                <w:highlight w:val="none"/>
              </w:rPr>
              <w:t>作报告计</w:t>
            </w:r>
            <w:r>
              <w:rPr>
                <w:rFonts w:hint="default"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val="en-US" w:eastAsia="zh-CN"/>
              </w:rPr>
              <w:t>获得优秀汇报奖的计5分；</w:t>
            </w:r>
            <w:r>
              <w:rPr>
                <w:rFonts w:hint="default" w:ascii="Times New Roman" w:hAnsi="Times New Roman" w:cs="Times New Roman"/>
                <w:color w:val="auto"/>
                <w:sz w:val="24"/>
                <w:szCs w:val="24"/>
                <w:highlight w:val="none"/>
              </w:rPr>
              <w:t>在校级研究生论坛中大会报告计2分</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获得优秀汇报奖的记3分；</w:t>
            </w:r>
          </w:p>
          <w:p w14:paraId="43623C48">
            <w:pPr>
              <w:keepNext w:val="0"/>
              <w:keepLines w:val="0"/>
              <w:pageBreakBefore w:val="0"/>
              <w:wordWrap/>
              <w:overflowPunct/>
              <w:topLinePunct w:val="0"/>
              <w:bidi w:val="0"/>
              <w:adjustRightInd/>
              <w:snapToGrid/>
              <w:spacing w:line="300" w:lineRule="auto"/>
              <w:ind w:firstLine="480" w:firstLineChars="200"/>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校级及以上学术会议公开收录的会议论文（须有证明）为第一作者赋分2分，其他排名不予认定。会议论文</w:t>
            </w:r>
            <w:r>
              <w:rPr>
                <w:rFonts w:hint="eastAsia" w:ascii="Times New Roman" w:hAnsi="Times New Roman" w:cs="Times New Roman"/>
                <w:color w:val="auto"/>
                <w:sz w:val="24"/>
                <w:szCs w:val="24"/>
                <w:highlight w:val="none"/>
                <w:lang w:val="en-US" w:eastAsia="zh-CN"/>
              </w:rPr>
              <w:t>认定</w:t>
            </w:r>
            <w:r>
              <w:rPr>
                <w:rFonts w:hint="default" w:ascii="Times New Roman" w:hAnsi="Times New Roman" w:cs="Times New Roman"/>
                <w:color w:val="auto"/>
                <w:sz w:val="24"/>
                <w:szCs w:val="24"/>
                <w:highlight w:val="none"/>
                <w:lang w:val="en-US" w:eastAsia="zh-CN"/>
              </w:rPr>
              <w:t>不超过（含）2篇。</w:t>
            </w:r>
          </w:p>
          <w:p w14:paraId="0D72C674">
            <w:pPr>
              <w:keepNext w:val="0"/>
              <w:keepLines w:val="0"/>
              <w:pageBreakBefore w:val="0"/>
              <w:wordWrap/>
              <w:overflowPunct/>
              <w:topLinePunct w:val="0"/>
              <w:bidi w:val="0"/>
              <w:adjustRightInd/>
              <w:snapToGrid/>
              <w:spacing w:line="300" w:lineRule="auto"/>
              <w:ind w:firstLine="480" w:firstLineChars="200"/>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rPr>
              <w:t>以上学术</w:t>
            </w:r>
            <w:r>
              <w:rPr>
                <w:rFonts w:hint="default" w:ascii="Times New Roman" w:hAnsi="Times New Roman" w:cs="Times New Roman"/>
                <w:color w:val="auto"/>
                <w:sz w:val="24"/>
                <w:szCs w:val="24"/>
                <w:highlight w:val="none"/>
              </w:rPr>
              <w:t>交流赋分</w:t>
            </w:r>
            <w:r>
              <w:rPr>
                <w:rFonts w:hint="eastAsia" w:ascii="Times New Roman" w:hAnsi="Times New Roman" w:cs="Times New Roman"/>
                <w:color w:val="auto"/>
                <w:sz w:val="24"/>
                <w:szCs w:val="24"/>
                <w:highlight w:val="none"/>
                <w:lang w:eastAsia="zh-CN"/>
              </w:rPr>
              <w:t>必须</w:t>
            </w:r>
            <w:r>
              <w:rPr>
                <w:rFonts w:hint="default" w:ascii="Times New Roman" w:hAnsi="Times New Roman" w:cs="Times New Roman"/>
                <w:color w:val="auto"/>
                <w:sz w:val="24"/>
                <w:szCs w:val="24"/>
                <w:highlight w:val="none"/>
              </w:rPr>
              <w:t>有相关证明材料，不认定证明材料仅为P</w:t>
            </w:r>
            <w:r>
              <w:rPr>
                <w:rFonts w:hint="default" w:ascii="Times New Roman" w:hAnsi="Times New Roman" w:cs="Times New Roman"/>
                <w:color w:val="auto"/>
                <w:sz w:val="24"/>
                <w:szCs w:val="24"/>
                <w:highlight w:val="none"/>
                <w:lang w:val="en-US" w:eastAsia="zh-CN"/>
              </w:rPr>
              <w:t>PT或壁报的学术交流。</w:t>
            </w:r>
            <w:r>
              <w:rPr>
                <w:rFonts w:hint="eastAsia" w:ascii="Times New Roman" w:hAnsi="Times New Roman" w:cs="Times New Roman"/>
                <w:color w:val="auto"/>
                <w:sz w:val="24"/>
                <w:szCs w:val="24"/>
                <w:highlight w:val="none"/>
                <w:lang w:val="en-US" w:eastAsia="zh-CN"/>
              </w:rPr>
              <w:t>作为第一作者，在由国家级学会（或同等级别官方机构）主办的学术会议或赛事中，壁报作品荣获奖项的，计</w:t>
            </w:r>
            <w:r>
              <w:rPr>
                <w:rFonts w:hint="default" w:ascii="Times New Roman" w:hAnsi="Times New Roman" w:cs="Times New Roman"/>
                <w:color w:val="auto"/>
                <w:sz w:val="24"/>
                <w:szCs w:val="24"/>
                <w:highlight w:val="none"/>
                <w:lang w:val="en-US" w:eastAsia="zh-CN"/>
              </w:rPr>
              <w:t>1分。</w:t>
            </w:r>
          </w:p>
          <w:p w14:paraId="1BFFA060">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研究生创新</w:t>
            </w:r>
            <w:r>
              <w:rPr>
                <w:rFonts w:hint="eastAsia" w:ascii="Times New Roman" w:hAnsi="Times New Roman" w:cs="Times New Roman"/>
                <w:color w:val="auto"/>
                <w:sz w:val="24"/>
                <w:szCs w:val="24"/>
                <w:highlight w:val="none"/>
                <w:lang w:val="en-US" w:eastAsia="zh-CN"/>
              </w:rPr>
              <w:t>创业</w:t>
            </w:r>
            <w:r>
              <w:rPr>
                <w:rFonts w:hint="default" w:ascii="Times New Roman" w:hAnsi="Times New Roman" w:cs="Times New Roman"/>
                <w:color w:val="auto"/>
                <w:sz w:val="24"/>
                <w:szCs w:val="24"/>
                <w:highlight w:val="none"/>
              </w:rPr>
              <w:t>项目：</w:t>
            </w:r>
          </w:p>
          <w:p w14:paraId="7D1B522F">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主持校级、省部级、国家级等研究生科研创新</w:t>
            </w:r>
            <w:r>
              <w:rPr>
                <w:rFonts w:hint="eastAsia" w:ascii="Times New Roman" w:hAnsi="Times New Roman" w:cs="Times New Roman"/>
                <w:color w:val="auto"/>
                <w:sz w:val="24"/>
                <w:szCs w:val="24"/>
                <w:highlight w:val="none"/>
                <w:lang w:val="en-US" w:eastAsia="zh-CN"/>
              </w:rPr>
              <w:t>创业</w:t>
            </w:r>
            <w:r>
              <w:rPr>
                <w:rFonts w:hint="default" w:ascii="Times New Roman" w:hAnsi="Times New Roman" w:cs="Times New Roman"/>
                <w:color w:val="auto"/>
                <w:sz w:val="24"/>
                <w:szCs w:val="24"/>
                <w:highlight w:val="none"/>
              </w:rPr>
              <w:t>项目分别认定5分、10分、15分。</w:t>
            </w:r>
            <w:r>
              <w:rPr>
                <w:rFonts w:hint="default" w:ascii="Times New Roman" w:hAnsi="Times New Roman" w:cs="Times New Roman"/>
                <w:color w:val="auto"/>
                <w:sz w:val="24"/>
                <w:szCs w:val="24"/>
                <w:highlight w:val="none"/>
                <w:lang w:val="en-US" w:eastAsia="zh-CN"/>
              </w:rPr>
              <w:t>仅限主持人，参与人</w:t>
            </w:r>
            <w:r>
              <w:rPr>
                <w:rFonts w:hint="default" w:ascii="Times New Roman" w:hAnsi="Times New Roman" w:cs="Times New Roman"/>
                <w:color w:val="auto"/>
                <w:sz w:val="24"/>
                <w:szCs w:val="24"/>
                <w:highlight w:val="none"/>
              </w:rPr>
              <w:t>不予认定</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仅认定结题并通过（需提供结题证书或显示结题结果的公示文件）的</w:t>
            </w:r>
            <w:r>
              <w:rPr>
                <w:rFonts w:hint="default" w:ascii="Times New Roman" w:hAnsi="Times New Roman" w:cs="Times New Roman"/>
                <w:color w:val="auto"/>
                <w:sz w:val="24"/>
                <w:szCs w:val="24"/>
                <w:highlight w:val="none"/>
                <w:lang w:val="en-US" w:eastAsia="zh-CN"/>
              </w:rPr>
              <w:t>项目</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每个项目只可认定一次</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项目延期不</w:t>
            </w:r>
            <w:r>
              <w:rPr>
                <w:rFonts w:hint="eastAsia" w:ascii="Times New Roman" w:hAnsi="Times New Roman" w:cs="Times New Roman"/>
                <w:color w:val="auto"/>
                <w:sz w:val="24"/>
                <w:szCs w:val="24"/>
                <w:highlight w:val="none"/>
                <w:lang w:val="en-US" w:eastAsia="zh-CN"/>
              </w:rPr>
              <w:t>予</w:t>
            </w:r>
            <w:r>
              <w:rPr>
                <w:rFonts w:hint="default" w:ascii="Times New Roman" w:hAnsi="Times New Roman" w:cs="Times New Roman"/>
                <w:color w:val="auto"/>
                <w:sz w:val="24"/>
                <w:szCs w:val="24"/>
                <w:highlight w:val="none"/>
                <w:lang w:val="en-US" w:eastAsia="zh-CN"/>
              </w:rPr>
              <w:t>认定。</w:t>
            </w:r>
            <w:r>
              <w:rPr>
                <w:rFonts w:hint="eastAsia" w:ascii="Times New Roman" w:hAnsi="Times New Roman" w:cs="Times New Roman"/>
                <w:color w:val="auto"/>
                <w:sz w:val="24"/>
                <w:szCs w:val="24"/>
                <w:highlight w:val="none"/>
                <w:lang w:val="en-US" w:eastAsia="zh-CN"/>
              </w:rPr>
              <w:t>申请者</w:t>
            </w:r>
            <w:r>
              <w:rPr>
                <w:rFonts w:hint="default" w:ascii="Times New Roman" w:hAnsi="Times New Roman" w:cs="Times New Roman"/>
                <w:color w:val="auto"/>
                <w:sz w:val="24"/>
                <w:szCs w:val="24"/>
                <w:highlight w:val="none"/>
                <w:lang w:val="en-US" w:eastAsia="zh-CN"/>
              </w:rPr>
              <w:t>参与导师主持的各类科研项目的，不予认定。</w:t>
            </w:r>
          </w:p>
          <w:p w14:paraId="54CFD1C5">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学术专著：</w:t>
            </w:r>
          </w:p>
          <w:p w14:paraId="209E088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担任主编、副主编、参编的学术专著、译著等计20分、15分、5分。</w:t>
            </w:r>
          </w:p>
          <w:p w14:paraId="4C64569D">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8</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国家和地方标准：</w:t>
            </w:r>
          </w:p>
          <w:p w14:paraId="56E8F70F">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国家标准、</w:t>
            </w:r>
            <w:r>
              <w:rPr>
                <w:rFonts w:hint="eastAsia" w:ascii="Times New Roman" w:hAnsi="Times New Roman" w:cs="Times New Roman"/>
                <w:color w:val="auto"/>
                <w:sz w:val="24"/>
                <w:szCs w:val="24"/>
                <w:highlight w:val="none"/>
                <w:lang w:val="en-US" w:eastAsia="zh-CN"/>
              </w:rPr>
              <w:t>行业标准、</w:t>
            </w:r>
            <w:r>
              <w:rPr>
                <w:rFonts w:hint="default" w:ascii="Times New Roman" w:hAnsi="Times New Roman" w:cs="Times New Roman"/>
                <w:color w:val="auto"/>
                <w:sz w:val="24"/>
                <w:szCs w:val="24"/>
                <w:highlight w:val="none"/>
              </w:rPr>
              <w:t>地方标准分别计</w:t>
            </w:r>
            <w:r>
              <w:rPr>
                <w:rFonts w:hint="eastAsia"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0分、</w:t>
            </w:r>
            <w:r>
              <w:rPr>
                <w:rFonts w:hint="eastAsia" w:ascii="Times New Roman" w:hAnsi="Times New Roman" w:cs="Times New Roman"/>
                <w:color w:val="auto"/>
                <w:sz w:val="24"/>
                <w:szCs w:val="24"/>
                <w:highlight w:val="none"/>
                <w:lang w:val="en-US" w:eastAsia="zh-CN"/>
              </w:rPr>
              <w:t>30分、20</w:t>
            </w:r>
            <w:r>
              <w:rPr>
                <w:rFonts w:hint="default" w:ascii="Times New Roman" w:hAnsi="Times New Roman" w:cs="Times New Roman"/>
                <w:color w:val="auto"/>
                <w:sz w:val="24"/>
                <w:szCs w:val="24"/>
                <w:highlight w:val="none"/>
              </w:rPr>
              <w:t>分。署名第一单位必须是新疆农业大学，作者署名第一作者认定100%；导师第一作者、</w:t>
            </w:r>
            <w:r>
              <w:rPr>
                <w:rFonts w:hint="eastAsia" w:ascii="Times New Roman" w:hAnsi="Times New Roman" w:cs="Times New Roman"/>
                <w:color w:val="auto"/>
                <w:sz w:val="24"/>
                <w:szCs w:val="24"/>
                <w:highlight w:val="none"/>
                <w:lang w:val="en-US" w:eastAsia="zh-CN"/>
              </w:rPr>
              <w:t>申请者</w:t>
            </w:r>
            <w:r>
              <w:rPr>
                <w:rFonts w:hint="default" w:ascii="Times New Roman" w:hAnsi="Times New Roman" w:cs="Times New Roman"/>
                <w:color w:val="auto"/>
                <w:sz w:val="24"/>
                <w:szCs w:val="24"/>
                <w:highlight w:val="none"/>
              </w:rPr>
              <w:t>第二作者认定100%；</w:t>
            </w:r>
            <w:r>
              <w:rPr>
                <w:rFonts w:hint="eastAsia" w:ascii="Times New Roman" w:hAnsi="Times New Roman" w:cs="Times New Roman"/>
                <w:color w:val="auto"/>
                <w:sz w:val="24"/>
                <w:szCs w:val="24"/>
                <w:highlight w:val="none"/>
                <w:lang w:val="en-US" w:eastAsia="zh-CN"/>
              </w:rPr>
              <w:t>申请者</w:t>
            </w:r>
            <w:r>
              <w:rPr>
                <w:rFonts w:hint="default" w:ascii="Times New Roman" w:hAnsi="Times New Roman" w:cs="Times New Roman"/>
                <w:color w:val="auto"/>
                <w:sz w:val="24"/>
                <w:szCs w:val="24"/>
                <w:highlight w:val="none"/>
              </w:rPr>
              <w:t>排第三、四、五、六位</w:t>
            </w:r>
            <w:r>
              <w:rPr>
                <w:rFonts w:hint="default" w:ascii="Times New Roman" w:hAnsi="Times New Roman" w:cs="Times New Roman"/>
                <w:color w:val="auto"/>
                <w:sz w:val="24"/>
                <w:szCs w:val="24"/>
                <w:highlight w:val="none"/>
                <w:lang w:val="en-US" w:eastAsia="zh-CN"/>
              </w:rPr>
              <w:t>及以后</w:t>
            </w:r>
            <w:r>
              <w:rPr>
                <w:rFonts w:hint="default" w:ascii="Times New Roman" w:hAnsi="Times New Roman" w:cs="Times New Roman"/>
                <w:color w:val="auto"/>
                <w:sz w:val="24"/>
                <w:szCs w:val="24"/>
                <w:highlight w:val="none"/>
              </w:rPr>
              <w:t>分别认定</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0%、</w:t>
            </w:r>
            <w:r>
              <w:rPr>
                <w:rFonts w:hint="default"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0%、</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0%、</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0%。</w:t>
            </w:r>
          </w:p>
          <w:p w14:paraId="2A41A683">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注</w:t>
            </w:r>
            <w:r>
              <w:rPr>
                <w:rFonts w:hint="default" w:ascii="Times New Roman" w:hAnsi="Times New Roman" w:cs="Times New Roman"/>
                <w:color w:val="auto"/>
                <w:sz w:val="24"/>
                <w:szCs w:val="24"/>
                <w:highlight w:val="none"/>
                <w:lang w:val="en-US" w:eastAsia="zh-CN"/>
              </w:rPr>
              <w:t>：已经获得过往届奖学金的所有学术成果不得重复使用和赋分，在后期资格审查过程中，如有发现重复使用往届奖学金已赋分使用学术成果的，按申报材料弄虚作假计，取消本次奖助评定资格。</w:t>
            </w:r>
          </w:p>
          <w:p w14:paraId="4FCC79D3">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0000FF"/>
                <w:sz w:val="24"/>
                <w:szCs w:val="24"/>
                <w:highlight w:val="none"/>
                <w:lang w:val="en-US" w:eastAsia="zh-CN"/>
              </w:rPr>
              <w:t>学术成果单项成绩起始分为0分，</w:t>
            </w:r>
            <w:r>
              <w:rPr>
                <w:rFonts w:hint="eastAsia" w:ascii="Times New Roman" w:hAnsi="Times New Roman" w:cs="Times New Roman"/>
                <w:color w:val="auto"/>
                <w:sz w:val="24"/>
                <w:szCs w:val="24"/>
                <w:highlight w:val="none"/>
                <w:lang w:val="en-US" w:eastAsia="zh-CN"/>
              </w:rPr>
              <w:t>总分不设上限，以实际得分为准。</w:t>
            </w:r>
          </w:p>
        </w:tc>
      </w:tr>
      <w:tr w14:paraId="3720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68" w:type="dxa"/>
            <w:vAlign w:val="center"/>
          </w:tcPr>
          <w:p w14:paraId="17991ADC">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社会活动等综合</w:t>
            </w:r>
            <w:r>
              <w:rPr>
                <w:rFonts w:hint="eastAsia" w:ascii="Times New Roman" w:hAnsi="Times New Roman" w:cs="Times New Roman"/>
                <w:color w:val="auto"/>
                <w:sz w:val="24"/>
                <w:szCs w:val="24"/>
                <w:highlight w:val="none"/>
                <w:lang w:val="en-US" w:eastAsia="zh-CN"/>
              </w:rPr>
              <w:t>成绩</w:t>
            </w:r>
          </w:p>
        </w:tc>
        <w:tc>
          <w:tcPr>
            <w:tcW w:w="534" w:type="dxa"/>
            <w:vAlign w:val="center"/>
          </w:tcPr>
          <w:p w14:paraId="6664B682">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20%</w:t>
            </w:r>
          </w:p>
        </w:tc>
        <w:tc>
          <w:tcPr>
            <w:tcW w:w="8385" w:type="dxa"/>
            <w:vAlign w:val="center"/>
          </w:tcPr>
          <w:p w14:paraId="70CABF29">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kern w:val="2"/>
                <w:sz w:val="24"/>
                <w:szCs w:val="24"/>
                <w:lang w:val="en-US" w:eastAsia="zh-CN" w:bidi="ar-SA"/>
              </w:rPr>
              <w:t>1</w:t>
            </w:r>
            <w:r>
              <w:rPr>
                <w:rFonts w:hint="default" w:ascii="Times New Roman" w:hAnsi="Times New Roman" w:eastAsia="宋体" w:cs="Times New Roman"/>
                <w:color w:val="auto"/>
                <w:kern w:val="2"/>
                <w:sz w:val="24"/>
                <w:szCs w:val="24"/>
                <w:lang w:val="en-US" w:eastAsia="zh-CN" w:bidi="ar-SA"/>
              </w:rPr>
              <w:t>、</w:t>
            </w:r>
            <w:r>
              <w:rPr>
                <w:rFonts w:hint="default" w:ascii="Times New Roman" w:hAnsi="Times New Roman" w:cs="Times New Roman"/>
                <w:color w:val="auto"/>
                <w:sz w:val="24"/>
                <w:szCs w:val="24"/>
                <w:highlight w:val="none"/>
              </w:rPr>
              <w:t>积极参加院校</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含联培单位</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组织的志愿服务、社会实践</w:t>
            </w:r>
            <w:r>
              <w:rPr>
                <w:rFonts w:hint="default" w:ascii="Times New Roman" w:hAnsi="Times New Roman" w:cs="Times New Roman"/>
                <w:color w:val="auto"/>
                <w:sz w:val="24"/>
                <w:szCs w:val="24"/>
                <w:highlight w:val="none"/>
                <w:lang w:val="en-US" w:eastAsia="zh-CN"/>
              </w:rPr>
              <w:t>等</w:t>
            </w:r>
            <w:r>
              <w:rPr>
                <w:rFonts w:hint="default" w:ascii="Times New Roman" w:hAnsi="Times New Roman" w:cs="Times New Roman"/>
                <w:color w:val="auto"/>
                <w:sz w:val="24"/>
                <w:szCs w:val="24"/>
                <w:highlight w:val="none"/>
              </w:rPr>
              <w:t>活动（例如：三下乡、支教等）计3分。</w:t>
            </w:r>
          </w:p>
          <w:p w14:paraId="2F0FC91F">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kern w:val="2"/>
                <w:sz w:val="24"/>
                <w:szCs w:val="24"/>
                <w:lang w:val="en-US" w:eastAsia="zh-CN" w:bidi="ar-SA"/>
              </w:rPr>
              <w:t>2</w:t>
            </w:r>
            <w:r>
              <w:rPr>
                <w:rFonts w:hint="default" w:ascii="Times New Roman" w:hAnsi="Times New Roman" w:eastAsia="宋体" w:cs="Times New Roman"/>
                <w:color w:val="auto"/>
                <w:kern w:val="2"/>
                <w:sz w:val="24"/>
                <w:szCs w:val="24"/>
                <w:lang w:val="en-US" w:eastAsia="zh-CN" w:bidi="ar-SA"/>
              </w:rPr>
              <w:t>、</w:t>
            </w:r>
            <w:r>
              <w:rPr>
                <w:rFonts w:hint="default" w:ascii="Times New Roman" w:hAnsi="Times New Roman" w:cs="Times New Roman"/>
                <w:color w:val="auto"/>
                <w:sz w:val="24"/>
                <w:szCs w:val="24"/>
                <w:highlight w:val="none"/>
              </w:rPr>
              <w:t>参加学院和学校</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含联培单位</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研究生会组织的志愿服务</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未做出</w:t>
            </w:r>
            <w:r>
              <w:rPr>
                <w:rFonts w:hint="default" w:ascii="Times New Roman" w:hAnsi="Times New Roman" w:cs="Times New Roman"/>
                <w:color w:val="auto"/>
                <w:sz w:val="24"/>
                <w:szCs w:val="24"/>
                <w:highlight w:val="none"/>
              </w:rPr>
              <w:t>突出贡献和</w:t>
            </w:r>
            <w:r>
              <w:rPr>
                <w:rFonts w:hint="default" w:ascii="Times New Roman" w:hAnsi="Times New Roman" w:cs="Times New Roman"/>
                <w:color w:val="auto"/>
                <w:sz w:val="24"/>
                <w:szCs w:val="24"/>
                <w:highlight w:val="none"/>
                <w:lang w:val="en-US" w:eastAsia="zh-CN"/>
              </w:rPr>
              <w:t>未提供</w:t>
            </w:r>
            <w:r>
              <w:rPr>
                <w:rFonts w:hint="default" w:ascii="Times New Roman" w:hAnsi="Times New Roman" w:cs="Times New Roman"/>
                <w:color w:val="auto"/>
                <w:sz w:val="24"/>
                <w:szCs w:val="24"/>
                <w:highlight w:val="none"/>
              </w:rPr>
              <w:t>证明材料</w:t>
            </w:r>
            <w:r>
              <w:rPr>
                <w:rFonts w:hint="default" w:ascii="Times New Roman" w:hAnsi="Times New Roman" w:cs="Times New Roman"/>
                <w:color w:val="auto"/>
                <w:sz w:val="24"/>
                <w:szCs w:val="24"/>
                <w:highlight w:val="none"/>
                <w:lang w:val="en-US" w:eastAsia="zh-CN"/>
              </w:rPr>
              <w:t>等</w:t>
            </w:r>
            <w:r>
              <w:rPr>
                <w:rFonts w:hint="default" w:ascii="Times New Roman" w:hAnsi="Times New Roman" w:cs="Times New Roman"/>
                <w:color w:val="auto"/>
                <w:sz w:val="24"/>
                <w:szCs w:val="24"/>
                <w:highlight w:val="none"/>
              </w:rPr>
              <w:t>不予认定</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参加基层培训及各类公益性基层科技服务（仅为采样或仅完成相关科研课题的基层科研活动不予认定）每次加0.5，累计不超过3分。（以公司盖章的科技服务证明材料或在</w:t>
            </w:r>
            <w:r>
              <w:rPr>
                <w:rFonts w:hint="eastAsia" w:ascii="Times New Roman" w:hAnsi="Times New Roman" w:cs="Times New Roman"/>
                <w:color w:val="auto"/>
                <w:sz w:val="24"/>
                <w:szCs w:val="24"/>
                <w:highlight w:val="none"/>
                <w:lang w:val="en-US" w:eastAsia="zh-CN"/>
              </w:rPr>
              <w:t>县市级以上</w:t>
            </w:r>
            <w:r>
              <w:rPr>
                <w:rFonts w:hint="default" w:ascii="Times New Roman" w:hAnsi="Times New Roman" w:cs="Times New Roman"/>
                <w:color w:val="auto"/>
                <w:sz w:val="24"/>
                <w:szCs w:val="24"/>
                <w:highlight w:val="none"/>
                <w:lang w:val="en-US" w:eastAsia="zh-CN"/>
              </w:rPr>
              <w:t>官方媒体公开报道的材料为认定依据。）</w:t>
            </w:r>
          </w:p>
          <w:p w14:paraId="7B157DA9">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注：一事一证；同一活动周期内，内容连续、地点相同的服务，原则上按单次活动计分，不得拆分。</w:t>
            </w:r>
          </w:p>
          <w:p w14:paraId="72520C31">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kern w:val="2"/>
                <w:sz w:val="24"/>
                <w:szCs w:val="24"/>
                <w:lang w:val="en-US" w:eastAsia="zh-CN" w:bidi="ar-SA"/>
              </w:rPr>
              <w:t>3</w:t>
            </w:r>
            <w:r>
              <w:rPr>
                <w:rFonts w:hint="default" w:ascii="Times New Roman" w:hAnsi="Times New Roman" w:eastAsia="宋体" w:cs="Times New Roman"/>
                <w:color w:val="auto"/>
                <w:kern w:val="2"/>
                <w:sz w:val="24"/>
                <w:szCs w:val="24"/>
                <w:lang w:val="en-US" w:eastAsia="zh-CN" w:bidi="ar-SA"/>
              </w:rPr>
              <w:t>、</w:t>
            </w:r>
            <w:r>
              <w:rPr>
                <w:rFonts w:hint="default" w:ascii="Times New Roman" w:hAnsi="Times New Roman" w:cs="Times New Roman"/>
                <w:color w:val="auto"/>
                <w:sz w:val="24"/>
                <w:szCs w:val="24"/>
                <w:highlight w:val="none"/>
              </w:rPr>
              <w:t>获得院级、校级、自治区级奖项</w:t>
            </w:r>
            <w:r>
              <w:rPr>
                <w:rFonts w:hint="eastAsia" w:ascii="Times New Roman" w:hAnsi="Times New Roman" w:cs="Times New Roman"/>
                <w:color w:val="auto"/>
                <w:sz w:val="24"/>
                <w:szCs w:val="24"/>
                <w:highlight w:val="none"/>
                <w:lang w:val="en-US" w:eastAsia="zh-CN"/>
              </w:rPr>
              <w:t>和荣誉</w:t>
            </w:r>
            <w:r>
              <w:rPr>
                <w:rFonts w:hint="default" w:ascii="Times New Roman" w:hAnsi="Times New Roman" w:cs="Times New Roman"/>
                <w:color w:val="auto"/>
                <w:sz w:val="24"/>
                <w:szCs w:val="24"/>
                <w:highlight w:val="none"/>
              </w:rPr>
              <w:t>（如三好</w:t>
            </w:r>
            <w:r>
              <w:rPr>
                <w:rFonts w:hint="default" w:ascii="Times New Roman" w:hAnsi="Times New Roman" w:cs="Times New Roman"/>
                <w:color w:val="auto"/>
                <w:sz w:val="24"/>
                <w:szCs w:val="24"/>
                <w:highlight w:val="none"/>
                <w:lang w:val="en-US" w:eastAsia="zh-CN"/>
              </w:rPr>
              <w:t>标兵、优秀</w:t>
            </w:r>
            <w:r>
              <w:rPr>
                <w:rFonts w:hint="default" w:ascii="Times New Roman" w:hAnsi="Times New Roman" w:cs="Times New Roman"/>
                <w:color w:val="auto"/>
                <w:sz w:val="24"/>
                <w:szCs w:val="24"/>
                <w:highlight w:val="none"/>
              </w:rPr>
              <w:t>研究生、优秀研究生干部、优秀党员等）分别计3分、5分、8分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同一年度内</w:t>
            </w:r>
            <w:r>
              <w:rPr>
                <w:rFonts w:hint="eastAsia" w:ascii="Times New Roman" w:hAnsi="Times New Roman" w:cs="Times New Roman"/>
                <w:color w:val="auto"/>
                <w:sz w:val="24"/>
                <w:szCs w:val="24"/>
                <w:highlight w:val="none"/>
                <w:lang w:val="en-US" w:eastAsia="zh-CN"/>
              </w:rPr>
              <w:t>同一类型奖项和荣誉取最高等级计分</w:t>
            </w:r>
            <w:r>
              <w:rPr>
                <w:rFonts w:hint="default" w:ascii="Times New Roman" w:hAnsi="Times New Roman" w:cs="Times New Roman"/>
                <w:color w:val="auto"/>
                <w:sz w:val="24"/>
                <w:szCs w:val="24"/>
                <w:highlight w:val="none"/>
              </w:rPr>
              <w:t>。</w:t>
            </w:r>
          </w:p>
          <w:p w14:paraId="6C425D7F">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480" w:firstLineChars="200"/>
              <w:textAlignment w:val="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4、学生参加学校（含联合培养单位）组织的各类文体活动（如羽毛球、篮球比赛、实验室技能大赛等）活动获</w:t>
            </w:r>
            <w:r>
              <w:rPr>
                <w:rFonts w:hint="default" w:ascii="Times New Roman" w:hAnsi="Times New Roman" w:cs="Times New Roman"/>
                <w:color w:val="auto"/>
                <w:sz w:val="24"/>
                <w:szCs w:val="24"/>
                <w:highlight w:val="none"/>
              </w:rPr>
              <w:t>校级、自治区级</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国家级奖项，</w:t>
            </w:r>
            <w:r>
              <w:rPr>
                <w:rFonts w:hint="default" w:ascii="Times New Roman" w:hAnsi="Times New Roman" w:cs="Times New Roman"/>
                <w:color w:val="0000FF"/>
                <w:sz w:val="24"/>
                <w:szCs w:val="24"/>
                <w:highlight w:val="none"/>
                <w:lang w:val="en-US" w:eastAsia="zh-CN"/>
              </w:rPr>
              <w:t>一等奖</w:t>
            </w:r>
            <w:r>
              <w:rPr>
                <w:rFonts w:hint="default" w:ascii="Times New Roman" w:hAnsi="Times New Roman" w:cs="Times New Roman"/>
                <w:color w:val="0000FF"/>
                <w:sz w:val="24"/>
                <w:szCs w:val="24"/>
                <w:highlight w:val="none"/>
              </w:rPr>
              <w:t>分别计</w:t>
            </w:r>
            <w:r>
              <w:rPr>
                <w:rFonts w:hint="eastAsia" w:ascii="Times New Roman" w:hAnsi="Times New Roman" w:cs="Times New Roman"/>
                <w:color w:val="0000FF"/>
                <w:sz w:val="24"/>
                <w:szCs w:val="24"/>
                <w:highlight w:val="none"/>
                <w:lang w:val="en-US" w:eastAsia="zh-CN"/>
              </w:rPr>
              <w:t>5</w:t>
            </w:r>
            <w:r>
              <w:rPr>
                <w:rFonts w:hint="default" w:ascii="Times New Roman" w:hAnsi="Times New Roman" w:cs="Times New Roman"/>
                <w:color w:val="0000FF"/>
                <w:sz w:val="24"/>
                <w:szCs w:val="24"/>
                <w:highlight w:val="none"/>
              </w:rPr>
              <w:t>分、</w:t>
            </w:r>
            <w:r>
              <w:rPr>
                <w:rFonts w:hint="eastAsia" w:ascii="Times New Roman" w:hAnsi="Times New Roman" w:cs="Times New Roman"/>
                <w:color w:val="0000FF"/>
                <w:sz w:val="24"/>
                <w:szCs w:val="24"/>
                <w:highlight w:val="none"/>
                <w:lang w:val="en-US" w:eastAsia="zh-CN"/>
              </w:rPr>
              <w:t>8</w:t>
            </w:r>
            <w:r>
              <w:rPr>
                <w:rFonts w:hint="default" w:ascii="Times New Roman" w:hAnsi="Times New Roman" w:cs="Times New Roman"/>
                <w:color w:val="0000FF"/>
                <w:sz w:val="24"/>
                <w:szCs w:val="24"/>
                <w:highlight w:val="none"/>
              </w:rPr>
              <w:t>分、</w:t>
            </w:r>
            <w:r>
              <w:rPr>
                <w:rFonts w:hint="eastAsia" w:ascii="Times New Roman" w:hAnsi="Times New Roman" w:cs="Times New Roman"/>
                <w:color w:val="0000FF"/>
                <w:sz w:val="24"/>
                <w:szCs w:val="24"/>
                <w:highlight w:val="none"/>
                <w:lang w:val="en-US" w:eastAsia="zh-CN"/>
              </w:rPr>
              <w:t>15</w:t>
            </w:r>
            <w:r>
              <w:rPr>
                <w:rFonts w:hint="default" w:ascii="Times New Roman" w:hAnsi="Times New Roman" w:cs="Times New Roman"/>
                <w:color w:val="0000FF"/>
                <w:sz w:val="24"/>
                <w:szCs w:val="24"/>
                <w:highlight w:val="none"/>
              </w:rPr>
              <w:t>分</w:t>
            </w:r>
            <w:r>
              <w:rPr>
                <w:rFonts w:hint="default" w:ascii="Times New Roman" w:hAnsi="Times New Roman" w:cs="Times New Roman"/>
                <w:color w:val="0000FF"/>
                <w:sz w:val="24"/>
                <w:szCs w:val="24"/>
                <w:highlight w:val="none"/>
                <w:lang w:eastAsia="zh-CN"/>
              </w:rPr>
              <w:t>；</w:t>
            </w:r>
            <w:r>
              <w:rPr>
                <w:rFonts w:hint="default" w:ascii="Times New Roman" w:hAnsi="Times New Roman" w:cs="Times New Roman"/>
                <w:color w:val="0000FF"/>
                <w:sz w:val="24"/>
                <w:szCs w:val="24"/>
                <w:highlight w:val="none"/>
                <w:lang w:val="en-US" w:eastAsia="zh-CN"/>
              </w:rPr>
              <w:t>二等奖分别计</w:t>
            </w:r>
            <w:r>
              <w:rPr>
                <w:rFonts w:hint="eastAsia" w:ascii="Times New Roman" w:hAnsi="Times New Roman" w:cs="Times New Roman"/>
                <w:color w:val="0000FF"/>
                <w:sz w:val="24"/>
                <w:szCs w:val="24"/>
                <w:highlight w:val="none"/>
                <w:lang w:val="en-US" w:eastAsia="zh-CN"/>
              </w:rPr>
              <w:t>3</w:t>
            </w:r>
            <w:r>
              <w:rPr>
                <w:rFonts w:hint="default" w:ascii="Times New Roman" w:hAnsi="Times New Roman" w:cs="Times New Roman"/>
                <w:color w:val="0000FF"/>
                <w:sz w:val="24"/>
                <w:szCs w:val="24"/>
                <w:highlight w:val="none"/>
              </w:rPr>
              <w:t>分、</w:t>
            </w:r>
            <w:r>
              <w:rPr>
                <w:rFonts w:hint="eastAsia" w:ascii="Times New Roman" w:hAnsi="Times New Roman" w:cs="Times New Roman"/>
                <w:color w:val="0000FF"/>
                <w:sz w:val="24"/>
                <w:szCs w:val="24"/>
                <w:highlight w:val="none"/>
                <w:lang w:val="en-US" w:eastAsia="zh-CN"/>
              </w:rPr>
              <w:t>5</w:t>
            </w:r>
            <w:r>
              <w:rPr>
                <w:rFonts w:hint="default" w:ascii="Times New Roman" w:hAnsi="Times New Roman" w:cs="Times New Roman"/>
                <w:color w:val="0000FF"/>
                <w:sz w:val="24"/>
                <w:szCs w:val="24"/>
                <w:highlight w:val="none"/>
              </w:rPr>
              <w:t>分、</w:t>
            </w:r>
            <w:r>
              <w:rPr>
                <w:rFonts w:hint="default" w:ascii="Times New Roman" w:hAnsi="Times New Roman" w:cs="Times New Roman"/>
                <w:color w:val="0000FF"/>
                <w:sz w:val="24"/>
                <w:szCs w:val="24"/>
                <w:highlight w:val="none"/>
                <w:lang w:val="en-US" w:eastAsia="zh-CN"/>
              </w:rPr>
              <w:t>1</w:t>
            </w:r>
            <w:r>
              <w:rPr>
                <w:rFonts w:hint="eastAsia" w:ascii="Times New Roman" w:hAnsi="Times New Roman" w:cs="Times New Roman"/>
                <w:color w:val="0000FF"/>
                <w:sz w:val="24"/>
                <w:szCs w:val="24"/>
                <w:highlight w:val="none"/>
                <w:lang w:val="en-US" w:eastAsia="zh-CN"/>
              </w:rPr>
              <w:t>0</w:t>
            </w:r>
            <w:r>
              <w:rPr>
                <w:rFonts w:hint="default" w:ascii="Times New Roman" w:hAnsi="Times New Roman" w:cs="Times New Roman"/>
                <w:color w:val="0000FF"/>
                <w:sz w:val="24"/>
                <w:szCs w:val="24"/>
                <w:highlight w:val="none"/>
              </w:rPr>
              <w:t>分</w:t>
            </w:r>
            <w:r>
              <w:rPr>
                <w:rFonts w:hint="default" w:ascii="Times New Roman" w:hAnsi="Times New Roman" w:cs="Times New Roman"/>
                <w:color w:val="0000FF"/>
                <w:sz w:val="24"/>
                <w:szCs w:val="24"/>
                <w:highlight w:val="none"/>
                <w:lang w:eastAsia="zh-CN"/>
              </w:rPr>
              <w:t>；</w:t>
            </w:r>
            <w:r>
              <w:rPr>
                <w:rFonts w:hint="default" w:ascii="Times New Roman" w:hAnsi="Times New Roman" w:cs="Times New Roman"/>
                <w:color w:val="0000FF"/>
                <w:sz w:val="24"/>
                <w:szCs w:val="24"/>
                <w:highlight w:val="none"/>
                <w:lang w:val="en-US" w:eastAsia="zh-CN"/>
              </w:rPr>
              <w:t>三等奖分别计</w:t>
            </w:r>
            <w:r>
              <w:rPr>
                <w:rFonts w:hint="eastAsia" w:ascii="Times New Roman" w:hAnsi="Times New Roman" w:cs="Times New Roman"/>
                <w:color w:val="0000FF"/>
                <w:sz w:val="24"/>
                <w:szCs w:val="24"/>
                <w:highlight w:val="none"/>
                <w:lang w:val="en-US" w:eastAsia="zh-CN"/>
              </w:rPr>
              <w:t>2</w:t>
            </w:r>
            <w:r>
              <w:rPr>
                <w:rFonts w:hint="default" w:ascii="Times New Roman" w:hAnsi="Times New Roman" w:cs="Times New Roman"/>
                <w:color w:val="0000FF"/>
                <w:sz w:val="24"/>
                <w:szCs w:val="24"/>
                <w:highlight w:val="none"/>
                <w:lang w:val="en-US" w:eastAsia="zh-CN"/>
              </w:rPr>
              <w:t>分、</w:t>
            </w:r>
            <w:r>
              <w:rPr>
                <w:rFonts w:hint="eastAsia" w:ascii="Times New Roman" w:hAnsi="Times New Roman" w:cs="Times New Roman"/>
                <w:color w:val="0000FF"/>
                <w:sz w:val="24"/>
                <w:szCs w:val="24"/>
                <w:highlight w:val="none"/>
                <w:lang w:val="en-US" w:eastAsia="zh-CN"/>
              </w:rPr>
              <w:t>3</w:t>
            </w:r>
            <w:r>
              <w:rPr>
                <w:rFonts w:hint="default" w:ascii="Times New Roman" w:hAnsi="Times New Roman" w:cs="Times New Roman"/>
                <w:color w:val="0000FF"/>
                <w:sz w:val="24"/>
                <w:szCs w:val="24"/>
                <w:highlight w:val="none"/>
                <w:lang w:val="en-US" w:eastAsia="zh-CN"/>
              </w:rPr>
              <w:t>分、</w:t>
            </w:r>
            <w:r>
              <w:rPr>
                <w:rFonts w:hint="eastAsia" w:ascii="Times New Roman" w:hAnsi="Times New Roman" w:cs="Times New Roman"/>
                <w:color w:val="0000FF"/>
                <w:sz w:val="24"/>
                <w:szCs w:val="24"/>
                <w:highlight w:val="none"/>
                <w:lang w:val="en-US" w:eastAsia="zh-CN"/>
              </w:rPr>
              <w:t>5</w:t>
            </w:r>
            <w:r>
              <w:rPr>
                <w:rFonts w:hint="default" w:ascii="Times New Roman" w:hAnsi="Times New Roman" w:cs="Times New Roman"/>
                <w:color w:val="0000FF"/>
                <w:sz w:val="24"/>
                <w:szCs w:val="24"/>
                <w:highlight w:val="none"/>
                <w:lang w:val="en-US" w:eastAsia="zh-CN"/>
              </w:rPr>
              <w:t>分；优秀奖分别计1分、</w:t>
            </w:r>
            <w:r>
              <w:rPr>
                <w:rFonts w:hint="eastAsia" w:ascii="Times New Roman" w:hAnsi="Times New Roman" w:cs="Times New Roman"/>
                <w:color w:val="0000FF"/>
                <w:sz w:val="24"/>
                <w:szCs w:val="24"/>
                <w:highlight w:val="none"/>
                <w:lang w:val="en-US" w:eastAsia="zh-CN"/>
              </w:rPr>
              <w:t>2</w:t>
            </w:r>
            <w:r>
              <w:rPr>
                <w:rFonts w:hint="default" w:ascii="Times New Roman" w:hAnsi="Times New Roman" w:cs="Times New Roman"/>
                <w:color w:val="0000FF"/>
                <w:sz w:val="24"/>
                <w:szCs w:val="24"/>
                <w:highlight w:val="none"/>
                <w:lang w:val="en-US" w:eastAsia="zh-CN"/>
              </w:rPr>
              <w:t>分、</w:t>
            </w:r>
            <w:r>
              <w:rPr>
                <w:rFonts w:hint="eastAsia" w:ascii="Times New Roman" w:hAnsi="Times New Roman" w:cs="Times New Roman"/>
                <w:color w:val="0000FF"/>
                <w:sz w:val="24"/>
                <w:szCs w:val="24"/>
                <w:highlight w:val="none"/>
                <w:lang w:val="en-US" w:eastAsia="zh-CN"/>
              </w:rPr>
              <w:t>3</w:t>
            </w:r>
            <w:r>
              <w:rPr>
                <w:rFonts w:hint="default" w:ascii="Times New Roman" w:hAnsi="Times New Roman" w:cs="Times New Roman"/>
                <w:color w:val="0000FF"/>
                <w:sz w:val="24"/>
                <w:szCs w:val="24"/>
                <w:highlight w:val="none"/>
                <w:lang w:val="en-US" w:eastAsia="zh-CN"/>
              </w:rPr>
              <w:t>分</w:t>
            </w:r>
            <w:r>
              <w:rPr>
                <w:rFonts w:hint="eastAsia" w:ascii="Times New Roman" w:hAnsi="Times New Roman" w:cs="Times New Roman"/>
                <w:color w:val="0000FF"/>
                <w:sz w:val="24"/>
                <w:szCs w:val="24"/>
                <w:highlight w:val="none"/>
                <w:lang w:val="en-US" w:eastAsia="zh-CN"/>
              </w:rPr>
              <w:t>。</w:t>
            </w:r>
            <w:r>
              <w:rPr>
                <w:rFonts w:hint="default" w:ascii="Times New Roman" w:hAnsi="Times New Roman" w:cs="Times New Roman"/>
                <w:color w:val="auto"/>
                <w:sz w:val="24"/>
                <w:szCs w:val="24"/>
                <w:highlight w:val="none"/>
                <w:lang w:val="en-US" w:eastAsia="zh-CN"/>
              </w:rPr>
              <w:t>所有低于院级级别表彰和证书不予认定。</w:t>
            </w:r>
            <w:r>
              <w:rPr>
                <w:rFonts w:hint="eastAsia" w:ascii="Times New Roman" w:hAnsi="Times New Roman" w:cs="Times New Roman"/>
                <w:color w:val="auto"/>
                <w:sz w:val="24"/>
                <w:szCs w:val="24"/>
                <w:highlight w:val="none"/>
                <w:lang w:val="en-US" w:eastAsia="zh-CN"/>
              </w:rPr>
              <w:t>其他活动，由评审委员会评议后予以认定或不予认定。</w:t>
            </w:r>
          </w:p>
          <w:p w14:paraId="77D4EB8B">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注：</w:t>
            </w:r>
            <w:r>
              <w:rPr>
                <w:rFonts w:hint="default" w:ascii="Times New Roman" w:hAnsi="Times New Roman" w:cs="Times New Roman"/>
                <w:color w:val="auto"/>
                <w:sz w:val="24"/>
                <w:szCs w:val="24"/>
                <w:highlight w:val="none"/>
                <w:lang w:val="en-US" w:eastAsia="zh-CN"/>
              </w:rPr>
              <w:t>奖励级别主要依据证书落款或盖章单位的行政级别认定</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若证书存在多个盖章单位，则以级别最高的单位为准。</w:t>
            </w:r>
            <w:bookmarkStart w:id="0" w:name="_GoBack"/>
            <w:bookmarkEnd w:id="0"/>
          </w:p>
          <w:p w14:paraId="44CBAEDA">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lang w:val="en-US" w:eastAsia="zh-CN" w:bidi="ar-SA"/>
              </w:rPr>
              <w:t>5、</w:t>
            </w:r>
            <w:r>
              <w:rPr>
                <w:rFonts w:hint="default" w:ascii="Times New Roman" w:hAnsi="Times New Roman" w:cs="Times New Roman"/>
                <w:color w:val="auto"/>
                <w:sz w:val="24"/>
                <w:szCs w:val="24"/>
                <w:highlight w:val="none"/>
                <w:lang w:val="en-US" w:eastAsia="zh-CN"/>
              </w:rPr>
              <w:t>学院颁发的各类荣誉证书，个人奖励每项加1分，最高认定3项；集体获奖第一参与人认定100%，其他参与人认定50%。</w:t>
            </w:r>
          </w:p>
          <w:p w14:paraId="3F8B336C">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kern w:val="2"/>
                <w:sz w:val="24"/>
                <w:szCs w:val="24"/>
                <w:lang w:val="en-US" w:eastAsia="zh-CN" w:bidi="ar-SA"/>
              </w:rPr>
              <w:t>6</w:t>
            </w:r>
            <w:r>
              <w:rPr>
                <w:rFonts w:hint="default" w:ascii="Times New Roman" w:hAnsi="Times New Roman" w:eastAsia="宋体" w:cs="Times New Roman"/>
                <w:color w:val="auto"/>
                <w:kern w:val="2"/>
                <w:sz w:val="24"/>
                <w:szCs w:val="24"/>
                <w:lang w:val="en-US" w:eastAsia="zh-CN" w:bidi="ar-SA"/>
              </w:rPr>
              <w:t>、</w:t>
            </w:r>
            <w:r>
              <w:rPr>
                <w:rFonts w:hint="default" w:ascii="Times New Roman" w:hAnsi="Times New Roman" w:cs="Times New Roman"/>
                <w:color w:val="auto"/>
                <w:sz w:val="24"/>
                <w:szCs w:val="24"/>
                <w:highlight w:val="none"/>
                <w:lang w:val="en-US" w:eastAsia="zh-CN"/>
              </w:rPr>
              <w:t>网上开展的各类竞赛，取得的各类证书，除学院评审委员会审定认可外，原则上不予认定。</w:t>
            </w:r>
          </w:p>
          <w:p w14:paraId="0A1C56C5">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kern w:val="2"/>
                <w:sz w:val="24"/>
                <w:szCs w:val="24"/>
                <w:lang w:val="en-US" w:eastAsia="zh-CN" w:bidi="ar-SA"/>
              </w:rPr>
              <w:t>7</w:t>
            </w:r>
            <w:r>
              <w:rPr>
                <w:rFonts w:hint="default" w:ascii="Times New Roman" w:hAnsi="Times New Roman" w:eastAsia="宋体" w:cs="Times New Roman"/>
                <w:color w:val="auto"/>
                <w:kern w:val="2"/>
                <w:sz w:val="24"/>
                <w:szCs w:val="24"/>
                <w:lang w:val="en-US" w:eastAsia="zh-CN" w:bidi="ar-SA"/>
              </w:rPr>
              <w:t>、</w:t>
            </w:r>
            <w:r>
              <w:rPr>
                <w:rFonts w:hint="default" w:ascii="Times New Roman" w:hAnsi="Times New Roman" w:cs="Times New Roman"/>
                <w:color w:val="auto"/>
                <w:sz w:val="24"/>
                <w:szCs w:val="24"/>
                <w:highlight w:val="none"/>
              </w:rPr>
              <w:t>担任学生干部并对工作认真负责，深受好评，有突出成绩，班长、研究生会主席、党支部副书记、实验室安全员（</w:t>
            </w:r>
            <w:r>
              <w:rPr>
                <w:rFonts w:hint="default" w:ascii="Times New Roman" w:hAnsi="Times New Roman" w:cs="Times New Roman"/>
                <w:color w:val="auto"/>
                <w:sz w:val="24"/>
                <w:szCs w:val="24"/>
                <w:highlight w:val="none"/>
                <w:lang w:val="en-US" w:eastAsia="zh-CN"/>
              </w:rPr>
              <w:t>指学院备案的安全员，且担任安全员工作满6个月，</w:t>
            </w:r>
            <w:r>
              <w:rPr>
                <w:rFonts w:hint="default" w:ascii="Times New Roman" w:hAnsi="Times New Roman" w:cs="Times New Roman"/>
                <w:color w:val="auto"/>
                <w:sz w:val="24"/>
                <w:szCs w:val="24"/>
                <w:highlight w:val="none"/>
              </w:rPr>
              <w:t>每位导师限1名</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统一由学院中心实验室开具证明</w:t>
            </w:r>
            <w:r>
              <w:rPr>
                <w:rFonts w:hint="default" w:ascii="Times New Roman" w:hAnsi="Times New Roman" w:cs="Times New Roman"/>
                <w:color w:val="auto"/>
                <w:sz w:val="24"/>
                <w:szCs w:val="24"/>
                <w:highlight w:val="none"/>
              </w:rPr>
              <w:t>）计5分；研究生助管、其他干部计</w:t>
            </w: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研究生会干事计2分</w:t>
            </w:r>
            <w:r>
              <w:rPr>
                <w:rFonts w:hint="default" w:ascii="Times New Roman" w:hAnsi="Times New Roman" w:cs="Times New Roman"/>
                <w:color w:val="auto"/>
                <w:sz w:val="24"/>
                <w:szCs w:val="24"/>
                <w:highlight w:val="none"/>
              </w:rPr>
              <w:t>。学生干部工作不满一年者，按任职月份折算分数</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该项</w:t>
            </w:r>
            <w:r>
              <w:rPr>
                <w:rFonts w:hint="default" w:ascii="Times New Roman" w:hAnsi="Times New Roman" w:cs="Times New Roman"/>
                <w:color w:val="auto"/>
                <w:sz w:val="24"/>
                <w:szCs w:val="24"/>
                <w:highlight w:val="none"/>
                <w:lang w:val="en-US" w:eastAsia="zh-CN"/>
              </w:rPr>
              <w:t>最高累计不超过10分</w:t>
            </w:r>
            <w:r>
              <w:rPr>
                <w:rFonts w:hint="default" w:ascii="Times New Roman" w:hAnsi="Times New Roman" w:cs="Times New Roman"/>
                <w:color w:val="auto"/>
                <w:sz w:val="24"/>
                <w:szCs w:val="24"/>
                <w:highlight w:val="none"/>
              </w:rPr>
              <w:t>。</w:t>
            </w:r>
          </w:p>
          <w:p w14:paraId="6DCDA167">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8、研究生担任科技小院学生院长（需提供科技小院首席专家签字且加盖科技小院培养单位公章的证明材料）的计5分。</w:t>
            </w:r>
          </w:p>
          <w:p w14:paraId="71909C0B">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kern w:val="2"/>
                <w:sz w:val="24"/>
                <w:szCs w:val="24"/>
                <w:lang w:val="en-US" w:eastAsia="zh-CN" w:bidi="ar-SA"/>
              </w:rPr>
              <w:t>9、</w:t>
            </w:r>
            <w:r>
              <w:rPr>
                <w:rFonts w:hint="default" w:ascii="Times New Roman" w:hAnsi="Times New Roman" w:cs="Times New Roman"/>
                <w:color w:val="auto"/>
                <w:sz w:val="24"/>
                <w:szCs w:val="24"/>
                <w:highlight w:val="none"/>
              </w:rPr>
              <w:t>见义勇为</w:t>
            </w:r>
            <w:r>
              <w:rPr>
                <w:rFonts w:hint="eastAsia" w:ascii="Times New Roman" w:hAnsi="Times New Roman" w:cs="Times New Roman"/>
                <w:color w:val="auto"/>
                <w:sz w:val="24"/>
                <w:szCs w:val="24"/>
                <w:highlight w:val="none"/>
                <w:lang w:val="en-US" w:eastAsia="zh-CN"/>
              </w:rPr>
              <w:t>，获得县、市、省、国家相关</w:t>
            </w:r>
            <w:r>
              <w:rPr>
                <w:rFonts w:hint="default" w:ascii="Times New Roman" w:hAnsi="Times New Roman" w:cs="Times New Roman"/>
                <w:color w:val="auto"/>
                <w:sz w:val="24"/>
                <w:szCs w:val="24"/>
                <w:highlight w:val="none"/>
                <w:lang w:val="en-US" w:eastAsia="zh-CN"/>
              </w:rPr>
              <w:t>证明材料</w:t>
            </w:r>
            <w:r>
              <w:rPr>
                <w:rFonts w:hint="eastAsia" w:ascii="Times New Roman" w:hAnsi="Times New Roman" w:cs="Times New Roman"/>
                <w:color w:val="auto"/>
                <w:sz w:val="24"/>
                <w:szCs w:val="24"/>
                <w:highlight w:val="none"/>
                <w:lang w:val="en-US" w:eastAsia="zh-CN"/>
              </w:rPr>
              <w:t>分别计8分、10分、15分、20分。</w:t>
            </w:r>
          </w:p>
          <w:p w14:paraId="0F099CE0">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kern w:val="2"/>
                <w:sz w:val="24"/>
                <w:szCs w:val="24"/>
                <w:lang w:val="en-US" w:eastAsia="zh-CN" w:bidi="ar-SA"/>
              </w:rPr>
              <w:t>10、</w:t>
            </w:r>
            <w:r>
              <w:rPr>
                <w:rFonts w:hint="default" w:ascii="Times New Roman" w:hAnsi="Times New Roman" w:cs="Times New Roman"/>
                <w:color w:val="auto"/>
                <w:sz w:val="24"/>
                <w:szCs w:val="24"/>
                <w:highlight w:val="none"/>
              </w:rPr>
              <w:t>获得执业兽医师资格证书计</w:t>
            </w:r>
            <w:r>
              <w:rPr>
                <w:rFonts w:hint="eastAsia" w:ascii="Times New Roman" w:hAnsi="Times New Roman"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分。</w:t>
            </w:r>
          </w:p>
          <w:p w14:paraId="0BA9E7ED">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kern w:val="2"/>
                <w:sz w:val="24"/>
                <w:szCs w:val="24"/>
                <w:lang w:val="en-US" w:eastAsia="zh-CN" w:bidi="ar-SA"/>
              </w:rPr>
              <w:t>11、</w:t>
            </w:r>
            <w:r>
              <w:rPr>
                <w:rFonts w:hint="default" w:ascii="Times New Roman" w:hAnsi="Times New Roman" w:cs="Times New Roman"/>
                <w:color w:val="auto"/>
                <w:sz w:val="24"/>
                <w:szCs w:val="24"/>
                <w:highlight w:val="none"/>
              </w:rPr>
              <w:t>有其它各类未列出的社会表彰，</w:t>
            </w:r>
            <w:r>
              <w:rPr>
                <w:rFonts w:hint="default" w:ascii="Times New Roman" w:hAnsi="Times New Roman" w:cs="Times New Roman"/>
                <w:color w:val="auto"/>
                <w:sz w:val="24"/>
                <w:szCs w:val="24"/>
                <w:highlight w:val="none"/>
                <w:lang w:val="en-US" w:eastAsia="zh-CN"/>
              </w:rPr>
              <w:t>需</w:t>
            </w:r>
            <w:r>
              <w:rPr>
                <w:rFonts w:hint="default" w:ascii="Times New Roman" w:hAnsi="Times New Roman" w:cs="Times New Roman"/>
                <w:color w:val="auto"/>
                <w:sz w:val="24"/>
                <w:szCs w:val="24"/>
                <w:highlight w:val="none"/>
              </w:rPr>
              <w:t>经学院评审委员会审定。</w:t>
            </w:r>
          </w:p>
          <w:p w14:paraId="68EF947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注</w:t>
            </w:r>
            <w:r>
              <w:rPr>
                <w:rFonts w:hint="default" w:ascii="Times New Roman" w:hAnsi="Times New Roman" w:cs="Times New Roman"/>
                <w:color w:val="auto"/>
                <w:sz w:val="24"/>
                <w:szCs w:val="24"/>
                <w:highlight w:val="none"/>
                <w:lang w:val="en-US" w:eastAsia="zh-CN"/>
              </w:rPr>
              <w:t>：已经获得过往届奖学金的社会活动等综合绩效项目不得重复使用和赋分。在后期资格审查过程中，如有发现重复使用往届奖学金已赋分使用成果的或申报材料弄虚作假，取消本次奖助评定资格。</w:t>
            </w:r>
          </w:p>
          <w:p w14:paraId="40430F8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0000FF"/>
                <w:sz w:val="24"/>
                <w:szCs w:val="24"/>
                <w:highlight w:val="none"/>
              </w:rPr>
              <w:t>社会活动等综合</w:t>
            </w:r>
            <w:r>
              <w:rPr>
                <w:rFonts w:hint="eastAsia" w:ascii="Times New Roman" w:hAnsi="Times New Roman" w:cs="Times New Roman"/>
                <w:color w:val="0000FF"/>
                <w:sz w:val="24"/>
                <w:szCs w:val="24"/>
                <w:highlight w:val="none"/>
                <w:lang w:val="en-US" w:eastAsia="zh-CN"/>
              </w:rPr>
              <w:t>成绩起始分为0分，</w:t>
            </w:r>
            <w:r>
              <w:rPr>
                <w:rFonts w:hint="eastAsia" w:ascii="Times New Roman" w:hAnsi="Times New Roman" w:cs="Times New Roman"/>
                <w:color w:val="auto"/>
                <w:sz w:val="24"/>
                <w:szCs w:val="24"/>
                <w:highlight w:val="none"/>
                <w:lang w:val="en-US" w:eastAsia="zh-CN"/>
              </w:rPr>
              <w:t>满分为100分，若总分超出100分按100分计算。</w:t>
            </w:r>
          </w:p>
        </w:tc>
      </w:tr>
      <w:tr w14:paraId="2566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968" w:type="dxa"/>
            <w:vAlign w:val="center"/>
          </w:tcPr>
          <w:p w14:paraId="40BF2C02">
            <w:pPr>
              <w:keepNext w:val="0"/>
              <w:keepLines w:val="0"/>
              <w:pageBreakBefore w:val="0"/>
              <w:widowControl w:val="0"/>
              <w:kinsoku/>
              <w:wordWrap/>
              <w:overflowPunct/>
              <w:topLinePunct w:val="0"/>
              <w:autoSpaceDE/>
              <w:autoSpaceDN/>
              <w:bidi w:val="0"/>
              <w:adjustRightInd/>
              <w:snapToGrid/>
              <w:spacing w:line="300" w:lineRule="auto"/>
              <w:ind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减分项</w:t>
            </w:r>
          </w:p>
        </w:tc>
        <w:tc>
          <w:tcPr>
            <w:tcW w:w="534" w:type="dxa"/>
            <w:vAlign w:val="center"/>
          </w:tcPr>
          <w:p w14:paraId="5CC2193C">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最</w:t>
            </w:r>
            <w:r>
              <w:rPr>
                <w:rFonts w:hint="eastAsia" w:ascii="Times New Roman" w:hAnsi="Times New Roman" w:cs="Times New Roman"/>
                <w:color w:val="auto"/>
                <w:sz w:val="24"/>
                <w:szCs w:val="24"/>
                <w:highlight w:val="none"/>
                <w:lang w:eastAsia="zh-CN"/>
              </w:rPr>
              <w:t>最高</w:t>
            </w:r>
            <w:r>
              <w:rPr>
                <w:rFonts w:hint="default" w:ascii="Times New Roman" w:hAnsi="Times New Roman" w:cs="Times New Roman"/>
                <w:color w:val="auto"/>
                <w:sz w:val="24"/>
                <w:szCs w:val="24"/>
                <w:highlight w:val="none"/>
                <w:lang w:val="en-US" w:eastAsia="zh-CN"/>
              </w:rPr>
              <w:t>1</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分</w:t>
            </w:r>
          </w:p>
        </w:tc>
        <w:tc>
          <w:tcPr>
            <w:tcW w:w="8385" w:type="dxa"/>
            <w:vAlign w:val="center"/>
          </w:tcPr>
          <w:p w14:paraId="485BC1A4">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减分项直接在总成绩中减分</w:t>
            </w:r>
            <w:r>
              <w:rPr>
                <w:rFonts w:hint="eastAsia" w:ascii="Times New Roman" w:hAnsi="Times New Roman" w:cs="Times New Roman"/>
                <w:color w:val="0000FF"/>
                <w:sz w:val="24"/>
                <w:szCs w:val="24"/>
                <w:highlight w:val="none"/>
                <w:lang w:eastAsia="zh-CN"/>
              </w:rPr>
              <w:t>，</w:t>
            </w:r>
            <w:r>
              <w:rPr>
                <w:rFonts w:hint="eastAsia" w:ascii="Times New Roman" w:hAnsi="Times New Roman" w:cs="Times New Roman"/>
                <w:color w:val="0000FF"/>
                <w:sz w:val="24"/>
                <w:szCs w:val="24"/>
                <w:highlight w:val="none"/>
                <w:lang w:val="en-US" w:eastAsia="zh-CN"/>
              </w:rPr>
              <w:t>最高累计减分15分</w:t>
            </w:r>
            <w:r>
              <w:rPr>
                <w:rFonts w:hint="default" w:ascii="Times New Roman" w:hAnsi="Times New Roman" w:cs="Times New Roman"/>
                <w:color w:val="auto"/>
                <w:sz w:val="24"/>
                <w:szCs w:val="24"/>
                <w:highlight w:val="none"/>
              </w:rPr>
              <w:t>。只计算</w:t>
            </w:r>
            <w:r>
              <w:rPr>
                <w:rFonts w:hint="default" w:ascii="Times New Roman" w:hAnsi="Times New Roman" w:cs="Times New Roman"/>
                <w:color w:val="auto"/>
                <w:sz w:val="24"/>
                <w:szCs w:val="24"/>
                <w:highlight w:val="none"/>
                <w:lang w:val="en-US" w:eastAsia="zh-CN"/>
              </w:rPr>
              <w:t>前一年9月1</w:t>
            </w:r>
            <w:r>
              <w:rPr>
                <w:rFonts w:hint="default" w:ascii="Times New Roman" w:hAnsi="Times New Roman" w:cs="Times New Roman"/>
                <w:color w:val="auto"/>
                <w:sz w:val="24"/>
                <w:szCs w:val="24"/>
                <w:highlight w:val="none"/>
              </w:rPr>
              <w:t>日至</w:t>
            </w:r>
            <w:r>
              <w:rPr>
                <w:rFonts w:hint="default" w:ascii="Times New Roman" w:hAnsi="Times New Roman" w:cs="Times New Roman"/>
                <w:color w:val="auto"/>
                <w:sz w:val="24"/>
                <w:szCs w:val="24"/>
                <w:highlight w:val="none"/>
                <w:lang w:val="en-US" w:eastAsia="zh-CN"/>
              </w:rPr>
              <w:t>当年</w:t>
            </w:r>
            <w:r>
              <w:rPr>
                <w:rFonts w:hint="default" w:ascii="Times New Roman" w:hAnsi="Times New Roman" w:cs="Times New Roman"/>
                <w:color w:val="auto"/>
                <w:sz w:val="24"/>
                <w:szCs w:val="24"/>
                <w:highlight w:val="none"/>
              </w:rPr>
              <w:t>8月31日之间发生的减分项。</w:t>
            </w:r>
          </w:p>
          <w:p w14:paraId="4CE44C7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2.参加活动减分</w:t>
            </w:r>
          </w:p>
          <w:p w14:paraId="5135C5C4">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val="en-US" w:eastAsia="zh-CN"/>
              </w:rPr>
              <w:t>非联培学生</w:t>
            </w:r>
            <w:r>
              <w:rPr>
                <w:rFonts w:hint="default" w:ascii="Times New Roman" w:hAnsi="Times New Roman" w:cs="Times New Roman"/>
                <w:color w:val="auto"/>
                <w:sz w:val="24"/>
                <w:szCs w:val="24"/>
                <w:highlight w:val="none"/>
              </w:rPr>
              <w:t>不参加</w:t>
            </w:r>
            <w:r>
              <w:rPr>
                <w:rFonts w:hint="default" w:ascii="Times New Roman" w:hAnsi="Times New Roman" w:cs="Times New Roman"/>
                <w:color w:val="auto"/>
                <w:sz w:val="24"/>
                <w:szCs w:val="24"/>
                <w:highlight w:val="none"/>
                <w:lang w:val="en-US" w:eastAsia="zh-CN"/>
              </w:rPr>
              <w:t>或参加时间不足总时长</w:t>
            </w:r>
            <w:r>
              <w:rPr>
                <w:rFonts w:hint="default" w:ascii="Times New Roman" w:hAnsi="Times New Roman" w:cs="Times New Roman"/>
                <w:color w:val="auto"/>
                <w:sz w:val="24"/>
                <w:szCs w:val="24"/>
                <w:highlight w:val="none"/>
                <w:lang w:val="en-GB" w:eastAsia="zh-CN"/>
              </w:rPr>
              <w:t>1/3</w:t>
            </w:r>
            <w:r>
              <w:rPr>
                <w:rFonts w:hint="default" w:ascii="Times New Roman" w:hAnsi="Times New Roman" w:cs="Times New Roman"/>
                <w:color w:val="auto"/>
                <w:sz w:val="24"/>
                <w:szCs w:val="24"/>
                <w:highlight w:val="none"/>
                <w:lang w:val="en-US" w:eastAsia="zh-CN"/>
              </w:rPr>
              <w:t>的</w:t>
            </w:r>
            <w:r>
              <w:rPr>
                <w:rFonts w:hint="default" w:ascii="Times New Roman" w:hAnsi="Times New Roman" w:cs="Times New Roman"/>
                <w:color w:val="auto"/>
                <w:sz w:val="24"/>
                <w:szCs w:val="24"/>
                <w:highlight w:val="none"/>
              </w:rPr>
              <w:t>学院和学校组织的学术活动、集体劳动和其他指定参加的各项活动等</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每次减1分。</w:t>
            </w:r>
          </w:p>
          <w:p w14:paraId="088C7FBF">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联培学生应发挥好我院学生对外交流的名片作用，积极主动参加联培单位的各项活动，学院定期向各联培导师发放调查问卷，凡联培导师反馈我院学生参加集体活动不积极，或总体评价较差的，按学院上述规定予以扣分。</w:t>
            </w:r>
            <w:r>
              <w:rPr>
                <w:rFonts w:hint="default" w:ascii="Times New Roman" w:hAnsi="Times New Roman" w:cs="Times New Roman"/>
                <w:color w:val="auto"/>
                <w:sz w:val="24"/>
                <w:szCs w:val="24"/>
                <w:highlight w:val="none"/>
              </w:rPr>
              <w:t>对于学院及学校发布的、要求</w:t>
            </w:r>
            <w:r>
              <w:rPr>
                <w:rFonts w:hint="default" w:ascii="Times New Roman" w:hAnsi="Times New Roman" w:cs="Times New Roman"/>
                <w:color w:val="auto"/>
                <w:sz w:val="24"/>
                <w:szCs w:val="24"/>
                <w:highlight w:val="none"/>
                <w:lang w:val="en-US" w:eastAsia="zh-CN"/>
              </w:rPr>
              <w:t>全体同学（含</w:t>
            </w:r>
            <w:r>
              <w:rPr>
                <w:rFonts w:hint="default" w:ascii="Times New Roman" w:hAnsi="Times New Roman" w:cs="Times New Roman"/>
                <w:color w:val="auto"/>
                <w:sz w:val="24"/>
                <w:szCs w:val="24"/>
                <w:highlight w:val="none"/>
              </w:rPr>
              <w:t>联培学生</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必须配合完成的线上活动与事务，经学院</w:t>
            </w:r>
            <w:r>
              <w:rPr>
                <w:rFonts w:hint="default" w:ascii="Times New Roman" w:hAnsi="Times New Roman" w:cs="Times New Roman"/>
                <w:color w:val="auto"/>
                <w:sz w:val="24"/>
                <w:szCs w:val="24"/>
                <w:highlight w:val="none"/>
                <w:lang w:val="en-US" w:eastAsia="zh-CN"/>
              </w:rPr>
              <w:t>及</w:t>
            </w:r>
            <w:r>
              <w:rPr>
                <w:rFonts w:hint="default" w:ascii="Times New Roman" w:hAnsi="Times New Roman" w:cs="Times New Roman"/>
                <w:color w:val="auto"/>
                <w:sz w:val="24"/>
                <w:szCs w:val="24"/>
                <w:highlight w:val="none"/>
              </w:rPr>
              <w:t>相关部门两次以上（含）督促后，仍出现迟交、未交或不配合情况的，每次扣1分。</w:t>
            </w:r>
          </w:p>
          <w:p w14:paraId="11423799">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所有参加活动认定以班级和</w:t>
            </w:r>
            <w:r>
              <w:rPr>
                <w:rFonts w:hint="default" w:ascii="Times New Roman" w:hAnsi="Times New Roman" w:cs="Times New Roman"/>
                <w:color w:val="auto"/>
                <w:sz w:val="24"/>
                <w:szCs w:val="24"/>
                <w:highlight w:val="none"/>
              </w:rPr>
              <w:t>学院</w:t>
            </w:r>
            <w:r>
              <w:rPr>
                <w:rFonts w:hint="default" w:ascii="Times New Roman" w:hAnsi="Times New Roman" w:cs="Times New Roman"/>
                <w:color w:val="auto"/>
                <w:sz w:val="24"/>
                <w:szCs w:val="24"/>
                <w:highlight w:val="none"/>
                <w:lang w:val="en-US" w:eastAsia="zh-CN"/>
              </w:rPr>
              <w:t>研究生办</w:t>
            </w:r>
            <w:r>
              <w:rPr>
                <w:rFonts w:hint="default" w:ascii="Times New Roman" w:hAnsi="Times New Roman" w:cs="Times New Roman"/>
                <w:color w:val="auto"/>
                <w:sz w:val="24"/>
                <w:szCs w:val="24"/>
                <w:highlight w:val="none"/>
              </w:rPr>
              <w:t>考勤为准，</w:t>
            </w:r>
            <w:r>
              <w:rPr>
                <w:rFonts w:hint="default" w:ascii="Times New Roman" w:hAnsi="Times New Roman" w:cs="Times New Roman"/>
                <w:color w:val="auto"/>
                <w:sz w:val="24"/>
                <w:szCs w:val="24"/>
                <w:highlight w:val="none"/>
                <w:lang w:val="en-US" w:eastAsia="zh-CN"/>
              </w:rPr>
              <w:t>最高减5分</w:t>
            </w:r>
            <w:r>
              <w:rPr>
                <w:rFonts w:hint="default" w:ascii="Times New Roman" w:hAnsi="Times New Roman" w:cs="Times New Roman"/>
                <w:color w:val="auto"/>
                <w:sz w:val="24"/>
                <w:szCs w:val="24"/>
                <w:highlight w:val="none"/>
              </w:rPr>
              <w:t>。</w:t>
            </w:r>
          </w:p>
          <w:p w14:paraId="7C798636">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yellow"/>
                <w:lang w:val="en-US" w:eastAsia="zh-CN"/>
              </w:rPr>
            </w:pPr>
            <w:r>
              <w:rPr>
                <w:rFonts w:hint="eastAsia" w:ascii="Times New Roman" w:hAnsi="Times New Roman" w:cs="Times New Roman"/>
                <w:color w:val="auto"/>
                <w:sz w:val="24"/>
                <w:szCs w:val="24"/>
                <w:highlight w:val="yellow"/>
                <w:lang w:val="en-US" w:eastAsia="zh-CN"/>
              </w:rPr>
              <w:t>3.其他减分项。</w:t>
            </w:r>
          </w:p>
          <w:p w14:paraId="34CC532E">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1</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无故旷课、逃课：每次扣</w:t>
            </w: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分（旷课节数多可累计）</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无故迟到、早退：累计满</w:t>
            </w: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次扣</w:t>
            </w: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不履行请假手续、伪造假条：每次扣</w:t>
            </w: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eastAsia="zh-CN"/>
              </w:rPr>
              <w:t>；</w:t>
            </w:r>
          </w:p>
          <w:p w14:paraId="4AB3DCB2">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违反生物安全规范</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动物实验伦理违规</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违反实验室安全操作</w:t>
            </w:r>
            <w:r>
              <w:rPr>
                <w:rFonts w:hint="eastAsia" w:ascii="Times New Roman" w:hAnsi="Times New Roman" w:cs="Times New Roman"/>
                <w:color w:val="auto"/>
                <w:sz w:val="24"/>
                <w:szCs w:val="24"/>
                <w:highlight w:val="none"/>
                <w:lang w:val="en-US" w:eastAsia="zh-CN"/>
              </w:rPr>
              <w:t>等，查证属实的</w:t>
            </w:r>
            <w:r>
              <w:rPr>
                <w:rFonts w:hint="default" w:ascii="Times New Roman" w:hAnsi="Times New Roman" w:cs="Times New Roman"/>
                <w:color w:val="auto"/>
                <w:sz w:val="24"/>
                <w:szCs w:val="24"/>
                <w:highlight w:val="none"/>
              </w:rPr>
              <w:t>扣</w:t>
            </w: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分</w:t>
            </w:r>
            <w:r>
              <w:rPr>
                <w:rFonts w:hint="eastAsia" w:ascii="Times New Roman" w:hAnsi="Times New Roman" w:cs="Times New Roman"/>
                <w:color w:val="auto"/>
                <w:sz w:val="24"/>
                <w:szCs w:val="24"/>
                <w:highlight w:val="none"/>
                <w:lang w:eastAsia="zh-CN"/>
              </w:rPr>
              <w:t>。</w:t>
            </w:r>
          </w:p>
          <w:p w14:paraId="56079D3B">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lang w:val="en-US" w:eastAsia="zh-CN"/>
              </w:rPr>
            </w:pPr>
            <w:r>
              <w:rPr>
                <w:rFonts w:hint="eastAsia" w:ascii="Times New Roman" w:hAnsi="Times New Roman" w:cs="Times New Roman"/>
                <w:color w:val="auto"/>
                <w:sz w:val="24"/>
                <w:szCs w:val="24"/>
                <w:highlight w:val="none"/>
                <w:lang w:val="en-US" w:eastAsia="zh-CN"/>
              </w:rPr>
              <w:t>（3）不服从导师、学院管理，或</w:t>
            </w:r>
            <w:r>
              <w:rPr>
                <w:rFonts w:ascii="宋体" w:hAnsi="宋体" w:eastAsia="宋体" w:cs="宋体"/>
                <w:sz w:val="24"/>
                <w:szCs w:val="24"/>
              </w:rPr>
              <w:t>无正当理由不配合</w:t>
            </w:r>
            <w:r>
              <w:rPr>
                <w:rFonts w:hint="eastAsia" w:ascii="宋体" w:hAnsi="宋体" w:eastAsia="宋体" w:cs="宋体"/>
                <w:sz w:val="24"/>
                <w:szCs w:val="24"/>
                <w:lang w:val="en-US" w:eastAsia="zh-CN"/>
              </w:rPr>
              <w:t>学院</w:t>
            </w:r>
            <w:r>
              <w:rPr>
                <w:rFonts w:ascii="宋体" w:hAnsi="宋体" w:eastAsia="宋体" w:cs="宋体"/>
                <w:sz w:val="24"/>
                <w:szCs w:val="24"/>
              </w:rPr>
              <w:t>工作</w:t>
            </w:r>
            <w:r>
              <w:rPr>
                <w:rFonts w:hint="eastAsia" w:ascii="宋体" w:hAnsi="宋体" w:eastAsia="宋体" w:cs="宋体"/>
                <w:sz w:val="24"/>
                <w:szCs w:val="24"/>
                <w:lang w:val="en-US" w:eastAsia="zh-CN"/>
              </w:rPr>
              <w:t>的，</w:t>
            </w:r>
            <w:r>
              <w:rPr>
                <w:rFonts w:hint="eastAsia" w:ascii="Times New Roman" w:hAnsi="Times New Roman" w:cs="Times New Roman"/>
                <w:color w:val="auto"/>
                <w:sz w:val="24"/>
                <w:szCs w:val="24"/>
                <w:highlight w:val="none"/>
                <w:lang w:val="en-US" w:eastAsia="zh-CN"/>
              </w:rPr>
              <w:t>经评审委会认定后扣1-3分。</w:t>
            </w:r>
          </w:p>
        </w:tc>
      </w:tr>
      <w:tr w14:paraId="67E46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502" w:type="dxa"/>
            <w:gridSpan w:val="2"/>
            <w:vAlign w:val="center"/>
          </w:tcPr>
          <w:p w14:paraId="050FEEAF">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总分</w:t>
            </w:r>
          </w:p>
        </w:tc>
        <w:tc>
          <w:tcPr>
            <w:tcW w:w="8385" w:type="dxa"/>
            <w:vAlign w:val="center"/>
          </w:tcPr>
          <w:p w14:paraId="325CBE67">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总分=</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思想品德得分</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学业成绩得分</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*25%</w:t>
            </w: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学术成果得分</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*45%</w:t>
            </w: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社会活动等综合绩效得分</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*20%-</w:t>
            </w:r>
            <w:r>
              <w:rPr>
                <w:rFonts w:hint="default" w:ascii="Times New Roman" w:hAnsi="Times New Roman" w:cs="Times New Roman"/>
                <w:color w:val="auto"/>
                <w:sz w:val="24"/>
                <w:szCs w:val="24"/>
                <w:highlight w:val="none"/>
              </w:rPr>
              <w:t>减分项。</w:t>
            </w:r>
          </w:p>
        </w:tc>
      </w:tr>
      <w:tr w14:paraId="02E20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502" w:type="dxa"/>
            <w:gridSpan w:val="2"/>
            <w:vAlign w:val="center"/>
          </w:tcPr>
          <w:p w14:paraId="1189A1DC">
            <w:pPr>
              <w:keepNext w:val="0"/>
              <w:keepLines w:val="0"/>
              <w:pageBreakBefore w:val="0"/>
              <w:widowControl w:val="0"/>
              <w:kinsoku/>
              <w:wordWrap/>
              <w:overflowPunct/>
              <w:topLinePunct w:val="0"/>
              <w:autoSpaceDE/>
              <w:autoSpaceDN/>
              <w:bidi w:val="0"/>
              <w:adjustRightInd/>
              <w:snapToGrid/>
              <w:spacing w:line="30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备注</w:t>
            </w:r>
          </w:p>
        </w:tc>
        <w:tc>
          <w:tcPr>
            <w:tcW w:w="8385" w:type="dxa"/>
            <w:vAlign w:val="center"/>
          </w:tcPr>
          <w:p w14:paraId="6986267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同分排序规则：成绩得分相同时，按以下顺序依次排序：（1）英语四六级成绩（分数高者优先）；（2）英语四六级成绩仍相同的，依次对比科研贡献单项得分、学业成绩得分、家庭困难认定等级、学院或班级集体活动参与次数、班委综合评分。</w:t>
            </w:r>
          </w:p>
          <w:p w14:paraId="408B42BB">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材料提交与认定要求：（1）所有认定材料以最终提交的纸质版为准，异议补交材料需在学院规定期限内完成，逾期不予认定；（2）申请材料须在规定时间内提交，逾期不予赋分；（3）复印件材料真实性存疑时，申请者需提供原件佐证，无法证明的不予赋分。</w:t>
            </w:r>
          </w:p>
          <w:p w14:paraId="51B118DD">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参选材料相关规定：（1）成果、奖励等所有申请材料，需为上年度9月1日至本年度8月31日期间取得</w:t>
            </w:r>
            <w:r>
              <w:rPr>
                <w:rFonts w:ascii="宋体" w:hAnsi="宋体" w:eastAsia="宋体" w:cs="宋体"/>
                <w:sz w:val="24"/>
                <w:szCs w:val="24"/>
              </w:rPr>
              <w:t>（英语等级证书</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执业兽医资格证</w:t>
            </w:r>
            <w:r>
              <w:rPr>
                <w:rFonts w:ascii="宋体" w:hAnsi="宋体" w:eastAsia="宋体" w:cs="宋体"/>
                <w:sz w:val="24"/>
                <w:szCs w:val="24"/>
              </w:rPr>
              <w:t>除外）</w:t>
            </w:r>
            <w:r>
              <w:rPr>
                <w:rFonts w:hint="default" w:ascii="Times New Roman" w:hAnsi="Times New Roman" w:cs="Times New Roman"/>
                <w:color w:val="auto"/>
                <w:sz w:val="24"/>
                <w:szCs w:val="24"/>
                <w:highlight w:val="none"/>
                <w:lang w:val="en-US" w:eastAsia="zh-CN"/>
              </w:rPr>
              <w:t>；（2）国家奖学金获得者，须具备第一作者（共同第一作者</w:t>
            </w:r>
            <w:r>
              <w:rPr>
                <w:rFonts w:hint="eastAsia" w:ascii="Times New Roman" w:hAnsi="Times New Roman" w:cs="Times New Roman"/>
                <w:color w:val="auto"/>
                <w:sz w:val="24"/>
                <w:szCs w:val="24"/>
                <w:highlight w:val="none"/>
                <w:lang w:val="en-US" w:eastAsia="zh-CN"/>
              </w:rPr>
              <w:t>需署名第一</w:t>
            </w:r>
            <w:r>
              <w:rPr>
                <w:rFonts w:hint="default" w:ascii="Times New Roman" w:hAnsi="Times New Roman" w:cs="Times New Roman"/>
                <w:color w:val="auto"/>
                <w:sz w:val="24"/>
                <w:szCs w:val="24"/>
                <w:highlight w:val="none"/>
                <w:lang w:val="en-US" w:eastAsia="zh-CN"/>
              </w:rPr>
              <w:t>）文章；（3）上一年度评优评奖已使用过的材料，不予认定</w:t>
            </w:r>
            <w:r>
              <w:rPr>
                <w:rFonts w:ascii="宋体" w:hAnsi="宋体" w:eastAsia="宋体" w:cs="宋体"/>
                <w:sz w:val="24"/>
                <w:szCs w:val="24"/>
              </w:rPr>
              <w:t>（英语等级证书</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执业兽医资格证</w:t>
            </w:r>
            <w:r>
              <w:rPr>
                <w:rFonts w:ascii="宋体" w:hAnsi="宋体" w:eastAsia="宋体" w:cs="宋体"/>
                <w:sz w:val="24"/>
                <w:szCs w:val="24"/>
              </w:rPr>
              <w:t>除外）</w:t>
            </w:r>
            <w:r>
              <w:rPr>
                <w:rFonts w:hint="default" w:ascii="Times New Roman" w:hAnsi="Times New Roman" w:cs="Times New Roman"/>
                <w:color w:val="auto"/>
                <w:sz w:val="24"/>
                <w:szCs w:val="24"/>
                <w:highlight w:val="none"/>
                <w:lang w:val="en-US" w:eastAsia="zh-CN"/>
              </w:rPr>
              <w:t>；（4）无法提供或不能明确取得时间的材料，不予认定。</w:t>
            </w:r>
          </w:p>
          <w:p w14:paraId="4E9C3CB0">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学生干部加分规则：研会成员、各类学生干部的加分，由院研究生教学科研办公室根据实际工作量核定；无工作量或工作量不达标的，不予加分。</w:t>
            </w:r>
          </w:p>
        </w:tc>
      </w:tr>
    </w:tbl>
    <w:p w14:paraId="6123F97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wordWrap/>
        <w:overflowPunct/>
        <w:topLinePunct w:val="0"/>
        <w:bidi w:val="0"/>
        <w:snapToGrid w:val="0"/>
        <w:spacing w:before="0" w:beforeAutospacing="0" w:after="0" w:afterAutospacing="0" w:line="600" w:lineRule="exact"/>
        <w:ind w:left="0" w:right="0" w:firstLine="0"/>
        <w:jc w:val="both"/>
        <w:rPr>
          <w:rFonts w:hint="eastAsia" w:ascii="仿宋_GB2312" w:hAnsi="仿宋_GB2312" w:eastAsia="仿宋_GB2312" w:cs="仿宋_GB2312"/>
          <w:caps w:val="0"/>
          <w:smallCaps w:val="0"/>
          <w:color w:val="000000"/>
          <w:spacing w:val="0"/>
          <w:kern w:val="0"/>
          <w:sz w:val="32"/>
          <w:szCs w:val="32"/>
          <w:shd w:val="clear" w:color="auto" w:fill="FFFFFF"/>
          <w:lang w:val="en-US" w:eastAsia="zh-CN"/>
        </w:rPr>
      </w:pPr>
    </w:p>
    <w:sectPr>
      <w:pgSz w:w="11906" w:h="16838"/>
      <w:pgMar w:top="1247" w:right="1800" w:bottom="124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FangSong_GB2312">
    <w:altName w:val="仿宋"/>
    <w:panose1 w:val="02010609060101010101"/>
    <w:charset w:val="86"/>
    <w:family w:val="modern"/>
    <w:pitch w:val="default"/>
    <w:sig w:usb0="00000000" w:usb1="00000000" w:usb2="00000016" w:usb3="00000000" w:csb0="00040001" w:csb1="00000000"/>
    <w:embedRegular r:id="rId1" w:fontKey="{9D6BEB2D-FABF-4AEE-B5DE-D88ABFEDA43A}"/>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modern"/>
    <w:pitch w:val="default"/>
    <w:sig w:usb0="00000001" w:usb1="08000000" w:usb2="00000000" w:usb3="00000000" w:csb0="00040000" w:csb1="00000000"/>
    <w:embedRegular r:id="rId2" w:fontKey="{6B8AC2CA-7E8B-411F-886B-040665ED95CF}"/>
  </w:font>
  <w:font w:name="仿宋_GB2312">
    <w:panose1 w:val="02010609030101010101"/>
    <w:charset w:val="86"/>
    <w:family w:val="auto"/>
    <w:pitch w:val="default"/>
    <w:sig w:usb0="00000001" w:usb1="080E0000" w:usb2="00000000" w:usb3="00000000" w:csb0="00040000" w:csb1="00000000"/>
    <w:embedRegular r:id="rId3" w:fontKey="{69A80910-C3D0-43B0-8F15-98415FE5FBD4}"/>
  </w:font>
  <w:font w:name="WPSEMBED1">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NzUwZDBmYzBkNDgxN2I2ZDFkY2Q5Y2ZmNTU3NWZjZjkifQ=="/>
  </w:docVars>
  <w:rsids>
    <w:rsidRoot w:val="00000000"/>
    <w:rsid w:val="03C350C4"/>
    <w:rsid w:val="04FD2212"/>
    <w:rsid w:val="06D23D98"/>
    <w:rsid w:val="0F073BC3"/>
    <w:rsid w:val="26E75A2A"/>
    <w:rsid w:val="27915E9F"/>
    <w:rsid w:val="39837F9E"/>
    <w:rsid w:val="40AB0497"/>
    <w:rsid w:val="412F2E76"/>
    <w:rsid w:val="41B25855"/>
    <w:rsid w:val="529E05D3"/>
    <w:rsid w:val="54334C45"/>
    <w:rsid w:val="543B10AD"/>
    <w:rsid w:val="56411B6B"/>
    <w:rsid w:val="5AE06317"/>
    <w:rsid w:val="632E2073"/>
    <w:rsid w:val="648F5856"/>
    <w:rsid w:val="656B7DD4"/>
    <w:rsid w:val="6D4B2E7A"/>
    <w:rsid w:val="74AE5E03"/>
    <w:rsid w:val="76B53CBA"/>
    <w:rsid w:val="76CA3469"/>
    <w:rsid w:val="7A740C82"/>
    <w:rsid w:val="7C563D89"/>
    <w:rsid w:val="7F446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4"/>
      <w:lang w:val="en-US" w:eastAsia="zh-CN" w:bidi="ar-SA"/>
    </w:rPr>
  </w:style>
  <w:style w:type="paragraph" w:styleId="4">
    <w:name w:val="heading 1"/>
    <w:basedOn w:val="1"/>
    <w:next w:val="1"/>
    <w:link w:val="18"/>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19"/>
    <w:qFormat/>
    <w:uiPriority w:val="0"/>
    <w:pPr>
      <w:keepNext/>
      <w:keepLines/>
      <w:spacing w:line="360" w:lineRule="auto"/>
      <w:ind w:firstLine="200" w:firstLineChars="200"/>
      <w:outlineLvl w:val="1"/>
    </w:pPr>
    <w:rPr>
      <w:rFonts w:ascii="Cambria" w:hAnsi="Cambria" w:eastAsia="楷体" w:cs="Cambria"/>
      <w:b/>
      <w:bCs/>
      <w:sz w:val="32"/>
      <w:szCs w:val="32"/>
    </w:rPr>
  </w:style>
  <w:style w:type="paragraph" w:styleId="6">
    <w:name w:val="heading 3"/>
    <w:basedOn w:val="1"/>
    <w:next w:val="1"/>
    <w:link w:val="20"/>
    <w:qFormat/>
    <w:uiPriority w:val="0"/>
    <w:pPr>
      <w:keepNext/>
      <w:keepLines/>
      <w:spacing w:before="260" w:after="260" w:line="415" w:lineRule="auto"/>
      <w:outlineLvl w:val="2"/>
    </w:pPr>
    <w:rPr>
      <w:b/>
      <w:bCs/>
      <w:sz w:val="32"/>
      <w:szCs w:val="32"/>
    </w:rPr>
  </w:style>
  <w:style w:type="character" w:default="1" w:styleId="15">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样式1"/>
    <w:basedOn w:val="1"/>
    <w:next w:val="3"/>
    <w:qFormat/>
    <w:uiPriority w:val="0"/>
    <w:pPr>
      <w:jc w:val="left"/>
    </w:pPr>
    <w:rPr>
      <w:rFonts w:ascii="Calibri" w:hAnsi="Calibri" w:eastAsia="FangSong_GB2312"/>
      <w:sz w:val="32"/>
    </w:rPr>
  </w:style>
  <w:style w:type="paragraph" w:customStyle="1" w:styleId="3">
    <w:name w:val="样式2"/>
    <w:basedOn w:val="1"/>
    <w:qFormat/>
    <w:uiPriority w:val="0"/>
    <w:pPr>
      <w:ind w:firstLine="200" w:firstLineChars="200"/>
    </w:pPr>
    <w:rPr>
      <w:rFonts w:eastAsia="FangSong_GB2312"/>
      <w:sz w:val="32"/>
    </w:rPr>
  </w:style>
  <w:style w:type="paragraph" w:styleId="7">
    <w:name w:val="annotation text"/>
    <w:basedOn w:val="1"/>
    <w:qFormat/>
    <w:uiPriority w:val="0"/>
    <w:pPr>
      <w:jc w:val="left"/>
    </w:pPr>
  </w:style>
  <w:style w:type="paragraph" w:styleId="8">
    <w:name w:val="Body Text"/>
    <w:basedOn w:val="1"/>
    <w:qFormat/>
    <w:uiPriority w:val="0"/>
    <w:rPr>
      <w:rFonts w:ascii="仿宋" w:hAnsi="仿宋" w:eastAsia="仿宋" w:cs="仿宋"/>
      <w:sz w:val="32"/>
      <w:szCs w:val="32"/>
      <w:lang w:val="en-US" w:bidi="ar-SA"/>
    </w:rPr>
  </w:style>
  <w:style w:type="paragraph" w:styleId="9">
    <w:name w:val="footer"/>
    <w:basedOn w:val="1"/>
    <w:qFormat/>
    <w:uiPriority w:val="0"/>
    <w:pPr>
      <w:tabs>
        <w:tab w:val="center" w:pos="4153"/>
        <w:tab w:val="right" w:pos="8306"/>
      </w:tabs>
      <w:snapToGrid w:val="0"/>
      <w:jc w:val="left"/>
    </w:pPr>
    <w:rPr>
      <w:kern w:val="2"/>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kern w:val="2"/>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rPr>
  </w:style>
  <w:style w:type="paragraph" w:styleId="12">
    <w:name w:val="Body Text First Indent"/>
    <w:basedOn w:val="8"/>
    <w:qFormat/>
    <w:uiPriority w:val="0"/>
    <w:pPr>
      <w:ind w:firstLine="100" w:firstLineChars="100"/>
    </w:pPr>
  </w:style>
  <w:style w:type="table" w:styleId="14">
    <w:name w:val="Table Grid"/>
    <w:basedOn w:val="1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TML Code"/>
    <w:basedOn w:val="15"/>
    <w:qFormat/>
    <w:uiPriority w:val="0"/>
    <w:rPr>
      <w:rFonts w:ascii="Courier New" w:hAnsi="Courier New"/>
      <w:sz w:val="20"/>
    </w:rPr>
  </w:style>
  <w:style w:type="character" w:customStyle="1" w:styleId="18">
    <w:name w:val="heading 1 Char"/>
    <w:basedOn w:val="15"/>
    <w:link w:val="4"/>
    <w:qFormat/>
    <w:uiPriority w:val="0"/>
    <w:rPr>
      <w:rFonts w:ascii="Calibri" w:hAnsi="Calibri" w:eastAsia="宋体" w:cs="Arial"/>
      <w:b/>
      <w:bCs/>
      <w:kern w:val="44"/>
      <w:sz w:val="44"/>
      <w:szCs w:val="44"/>
      <w:lang w:val="en-US" w:eastAsia="zh-CN" w:bidi="ar-SA"/>
    </w:rPr>
  </w:style>
  <w:style w:type="character" w:customStyle="1" w:styleId="19">
    <w:name w:val="heading 2 Char"/>
    <w:basedOn w:val="15"/>
    <w:link w:val="5"/>
    <w:qFormat/>
    <w:uiPriority w:val="0"/>
    <w:rPr>
      <w:rFonts w:ascii="Cambria" w:hAnsi="Cambria" w:eastAsia="楷体" w:cs="Cambria"/>
      <w:b/>
      <w:bCs/>
      <w:kern w:val="2"/>
      <w:sz w:val="32"/>
      <w:szCs w:val="32"/>
      <w:lang w:val="en-US" w:eastAsia="zh-CN" w:bidi="ar-SA"/>
    </w:rPr>
  </w:style>
  <w:style w:type="character" w:customStyle="1" w:styleId="20">
    <w:name w:val="heading 3 Char"/>
    <w:basedOn w:val="15"/>
    <w:link w:val="6"/>
    <w:qFormat/>
    <w:uiPriority w:val="0"/>
    <w:rPr>
      <w:rFonts w:ascii="Calibri" w:hAnsi="Calibri" w:eastAsia="宋体" w:cs="Arial"/>
      <w:b/>
      <w:bCs/>
      <w:kern w:val="2"/>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ap="flat" cmpd="sng">
          <a:solidFill>
            <a:schemeClr val="phClr"/>
          </a:solidFill>
          <a:prstDash val="solid"/>
          <a:miter/>
        </a:ln>
        <a:ln w="12700" cap="flat" cmpd="sng">
          <a:solidFill>
            <a:schemeClr val="phClr"/>
          </a:solidFill>
          <a:prstDash val="solid"/>
          <a:miter/>
        </a:ln>
        <a:ln w="12700" cap="flat" cmpd="sng">
          <a:gradFill rotWithShape="1">
            <a:gsLst>
              <a:gs pos="0">
                <a:schemeClr val="phClr">
                  <a:hueOff val="-4200000"/>
                </a:schemeClr>
              </a:gs>
              <a:gs pos="100000">
                <a:schemeClr val="phClr"/>
              </a:gs>
            </a:gsLst>
            <a:lin ang="2700000" scaled="1"/>
          </a:gradFill>
          <a:prstDash val="solid"/>
          <a:miter/>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f3a4d4e1-5a5f-41e6-bbe6-3648cd128727</errorID>
      <errorWord>最高</errorWord>
      <group>L1_Word</group>
      <groupName>字词问题</groupName>
      <ability>L2_Typo</ability>
      <abilityName>字词错误</abilityName>
      <candidateList>
        <item>高</item>
      </candidateList>
      <explain/>
      <paraID>5CC2193C</paraID>
      <start>1</start>
      <end>3</end>
      <status>ignored</status>
      <modifiedWord/>
      <trackRevisions>false</trackRevisions>
    </reviewItem>
  </reviewItems>
  <config/>
</contractReview>
</file>

<file path=customXml/item2.xml><?xml version="1.0" encoding="utf-8"?>
<customData xmlns="http://www.yozosoft.com.cn/officeDocument/2016/customData">
  <customProps>
    <docPr revisions="3 0 5 0 0 0 1 0 0 0 26650 1 1 1 1 1"/>
    <sectPr/>
  </customProps>
</customData>
</file>

<file path=customXml/itemProps1.xml><?xml version="1.0" encoding="utf-8"?>
<ds:datastoreItem xmlns:ds="http://schemas.openxmlformats.org/officeDocument/2006/customXml" ds:itemID="{26d9a088-88e8-448f-9491-1f527ebb3ed3}">
  <ds:schemaRefs/>
</ds:datastoreItem>
</file>

<file path=customXml/itemProps2.xml><?xml version="1.0" encoding="utf-8"?>
<ds:datastoreItem xmlns:ds="http://schemas.openxmlformats.org/officeDocument/2006/customXml" ds:itemID="{41FC585B-4B37-4AF8-89B0-0907672E2AAD}">
  <ds:schemaRefs/>
</ds:datastoreItem>
</file>

<file path=docProps/app.xml><?xml version="1.0" encoding="utf-8"?>
<Properties xmlns="http://schemas.openxmlformats.org/officeDocument/2006/extended-properties" xmlns:vt="http://schemas.openxmlformats.org/officeDocument/2006/docPropsVTypes">
  <Template>Normal.eit</Template>
  <Pages>5</Pages>
  <Words>4563</Words>
  <Characters>4821</Characters>
  <Lines>0</Lines>
  <Paragraphs>8</Paragraphs>
  <TotalTime>165</TotalTime>
  <ScaleCrop>false</ScaleCrop>
  <LinksUpToDate>false</LinksUpToDate>
  <CharactersWithSpaces>4822</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2024-10-26T13:29:00Z</dcterms:created>
  <dc:creator>李真</dc:creator>
  <cp:lastModifiedBy>徐乐乐</cp:lastModifiedBy>
  <cp:lastPrinted>2026-09-29T10:16:00Z</cp:lastPrinted>
  <dcterms:modified xsi:type="dcterms:W3CDTF">2026-09-30T06:52:09Z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CC067CD36D654E59AA462F88B2CC5A83_13</vt:lpwstr>
  </property>
  <property fmtid="{D5CDD505-2E9C-101B-9397-08002B2CF9AE}" pid="4" name="KSOTemplateDocerSaveRecord">
    <vt:lpwstr>eyJoZGlkIjoiYjZmMTA0Yzg2YjQ4YzZmNjYyYzczM2M3YTZmMTExMTYiLCJ1c2VySWQiOiIxNzI3Mjk2NjM3In0=</vt:lpwstr>
  </property>
</Properties>
</file>