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20960">
      <w:pPr>
        <w:pStyle w:val="3"/>
        <w:keepNext w:val="0"/>
        <w:keepLines w:val="0"/>
        <w:pageBreakBefore w:val="0"/>
        <w:shd w:val="clear" w:color="auto" w:fill="FFFFFF"/>
        <w:wordWrap/>
        <w:overflowPunct/>
        <w:topLinePunct w:val="0"/>
        <w:bidi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 xml:space="preserve">附件1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综合表现量化评分标准</w:t>
      </w: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91"/>
        <w:gridCol w:w="7481"/>
      </w:tblGrid>
      <w:tr w14:paraId="649C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8" w:type="dxa"/>
            <w:vAlign w:val="center"/>
          </w:tcPr>
          <w:p w14:paraId="22275E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评价指标</w:t>
            </w:r>
          </w:p>
        </w:tc>
        <w:tc>
          <w:tcPr>
            <w:tcW w:w="791" w:type="dxa"/>
            <w:vAlign w:val="center"/>
          </w:tcPr>
          <w:p w14:paraId="0FE3B3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权重</w:t>
            </w:r>
          </w:p>
        </w:tc>
        <w:tc>
          <w:tcPr>
            <w:tcW w:w="7481" w:type="dxa"/>
            <w:vAlign w:val="center"/>
          </w:tcPr>
          <w:p w14:paraId="7E9D66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评价要素及加权计算办法</w:t>
            </w:r>
          </w:p>
        </w:tc>
      </w:tr>
      <w:tr w14:paraId="0308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vAlign w:val="center"/>
          </w:tcPr>
          <w:p w14:paraId="33F8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n-US" w:eastAsia="zh-CN"/>
              </w:rPr>
              <w:t>德育成绩</w:t>
            </w:r>
          </w:p>
        </w:tc>
        <w:tc>
          <w:tcPr>
            <w:tcW w:w="791" w:type="dxa"/>
            <w:vAlign w:val="center"/>
          </w:tcPr>
          <w:p w14:paraId="3DD5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10%</w:t>
            </w:r>
          </w:p>
        </w:tc>
        <w:tc>
          <w:tcPr>
            <w:tcW w:w="7481" w:type="dxa"/>
            <w:vAlign w:val="center"/>
          </w:tcPr>
          <w:p w14:paraId="4A0B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热爱社会主义祖国，拥护中国共产党的领导，道德品质优良，诚实守信，关心集体，积极参加集体活动，团结同学，心理健康，积极向上；遵守宪法和法律，遵守学校规章制度，在校期间未受任何纪律处分，计10分。</w:t>
            </w:r>
          </w:p>
          <w:p w14:paraId="75BF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GB" w:eastAsia="en-US" w:bidi="ar-SA"/>
              </w:rPr>
              <w:t>院级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通报批评1次扣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校级通报批评、院级以上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警告处分及以上取消评奖学金资格。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德育成绩低于6分的，按德育考核不及格计，取消奖学金评选资格。</w:t>
            </w:r>
          </w:p>
          <w:p w14:paraId="6599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我院研究生教育秉承“立德树人，德育为先，育人为本”，凡在学习生活过程中，存在道德败坏、品行不端、发表不当言论等现象，被同学举报或在学院形成不良舆情的，经查证属实，扣3-5分，情节严重的取消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评奖学金资格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644D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vAlign w:val="center"/>
          </w:tcPr>
          <w:p w14:paraId="1191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学业成绩</w:t>
            </w:r>
          </w:p>
        </w:tc>
        <w:tc>
          <w:tcPr>
            <w:tcW w:w="791" w:type="dxa"/>
            <w:vAlign w:val="center"/>
          </w:tcPr>
          <w:p w14:paraId="2360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%</w:t>
            </w:r>
          </w:p>
        </w:tc>
        <w:tc>
          <w:tcPr>
            <w:tcW w:w="7481" w:type="dxa"/>
            <w:vAlign w:val="center"/>
          </w:tcPr>
          <w:p w14:paraId="6B91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学习成绩优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。按时上课，无迟到、早退和旷课现象。平均成绩≥及格分（100分满分记，博士和学术型硕士研究生及格分70分，专业型硕士研究生及格分60分）每增加1分加0.5分，最高计1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分。平均成绩低于及格分计0分。</w:t>
            </w:r>
          </w:p>
          <w:p w14:paraId="309B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CET-6≥425分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，或雅思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≥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6.5分，或托福成绩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≥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90分以上，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计1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分；CET-4≥425分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，或雅思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≥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6.0分，或托福成绩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≥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80分以上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者计7分，低于425分者计0分；CET-6和CET-4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GB" w:eastAsia="en-US" w:bidi="ar-SA"/>
              </w:rPr>
              <w:t>可以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任选一项计分，不得重复计分。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不受评定周期影响。</w:t>
            </w:r>
          </w:p>
          <w:p w14:paraId="4B21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学业成绩是按总权重分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分核定分数的，申请者实际得分即为此项加权得分。</w:t>
            </w:r>
          </w:p>
        </w:tc>
      </w:tr>
      <w:tr w14:paraId="1339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vAlign w:val="center"/>
          </w:tcPr>
          <w:p w14:paraId="4B02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学术成果</w:t>
            </w:r>
          </w:p>
        </w:tc>
        <w:tc>
          <w:tcPr>
            <w:tcW w:w="791" w:type="dxa"/>
            <w:vAlign w:val="center"/>
          </w:tcPr>
          <w:p w14:paraId="6601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%</w:t>
            </w:r>
          </w:p>
        </w:tc>
        <w:tc>
          <w:tcPr>
            <w:tcW w:w="7481" w:type="dxa"/>
            <w:vAlign w:val="center"/>
          </w:tcPr>
          <w:p w14:paraId="391C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1、发表论文：</w:t>
            </w:r>
          </w:p>
          <w:p w14:paraId="3406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我院学生，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署名第一单位必须是新疆农业大学动物医学学院，其他不予认定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；论文作者中必须含我院导师（含校外导师）并对该论文负责，不含我院导师的任何论文不予认定。</w:t>
            </w:r>
          </w:p>
          <w:p w14:paraId="057D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考虑到期刊杂志发表周期长、见刊慢等，凡中国知网可查的、已有录用函的论文提供缴费证明后均予以认定。</w:t>
            </w:r>
          </w:p>
          <w:p w14:paraId="7E8D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署名第一作者认定100%。导师第一作者、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申请者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第二作者认定100%；导师和联合导师第一、二作者，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申请者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第三作者可认定100%。同等贡献并列第一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且排名第二和第三的作者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认定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0%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和1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0%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其他排名不予认定。</w:t>
            </w:r>
          </w:p>
          <w:p w14:paraId="7D47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（1）SCI收录论文和卓越期刊得分=M×（1+影响因子)，影响因子以最新新疆农业大学图书馆检索报告为准。M系数的赋分原则：中科院分区I区为30，中科院分区II区和领军期刊为20，中科院分区III区和重点期刊为15，中科院分区IV区和梯队期刊为10。</w:t>
            </w:r>
          </w:p>
          <w:p w14:paraId="24AB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（2）每篇EI得分=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×（1+影响因子)，EI不含会议论文，EI影响因子以最新检索报告为准。</w:t>
            </w:r>
          </w:p>
          <w:p w14:paraId="05C5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（3）CSCD期刊得分=6×（1+影响因子)，CSCD为中国科学引文数据库收录期刊。影响因子为综合影响因子，以CNKI期刊导航数据为准。</w:t>
            </w:r>
          </w:p>
          <w:p w14:paraId="7678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（4）核心期刊得分=4×（1+影响因子)，核心期刊为北京大学核心期刊。影响因子为综合影响因子，以CNKI期刊导航数据为准。新疆农业大学学报可认定为核心期刊。</w:t>
            </w:r>
          </w:p>
          <w:p w14:paraId="6049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（5）一般期刊得分=2。</w:t>
            </w:r>
          </w:p>
          <w:p w14:paraId="7BF1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注：所有论文必须严格按照国家及学校学术规范相关文件投稿、撰写，凡涉及代投、代写等学术不端或学术不规范的论文不予认定，并按相关规定予以处理，取消参评资格。</w:t>
            </w:r>
          </w:p>
          <w:p w14:paraId="6CAA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2、专利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软著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：</w:t>
            </w:r>
          </w:p>
          <w:p w14:paraId="35DA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国家发明专利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新品种审定获得受理或授权，排名第一（或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导师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为排名第一、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申请者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排名第二）计15分。排名第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认定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（除导师外排名）3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0%。其他排名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均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认定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10%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（仅限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国家发明专利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 w14:paraId="5907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实用新型专利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软件著作权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、外观设计专利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获得授权，排名第一（或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导师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为排名第一、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申请者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排名第二）计8分、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、1分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其他排名均不予认定。</w:t>
            </w:r>
          </w:p>
          <w:p w14:paraId="2CA0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注：上述成果第一单位必须为新疆农业大学，除去导师排名指：研究生导师（含学院备案的合作导师，其余教师排名正常参与排名认定。</w:t>
            </w:r>
          </w:p>
          <w:p w14:paraId="3854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3、科研奖项：</w:t>
            </w:r>
          </w:p>
          <w:p w14:paraId="7DEC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院级、校级、自治区学会、省部级、全国学会、国家级等科研奖项分别认定2分、4分、5分、6分、8分、10分。科研奖项包括科技奖和互联网+获奖等。国家级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和自治区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科研奖项所有署名均可认定100%，其余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奖项的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署名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排名第二、三、四位分别认定30%、20%、10%，其他排名不予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认定。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同一项目不累计加分，以最高级记分。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存在争议的科研奖项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提交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学院评审委员会认定。</w:t>
            </w:r>
          </w:p>
          <w:p w14:paraId="37EC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4、学术交流：</w:t>
            </w:r>
          </w:p>
          <w:p w14:paraId="07E1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在国际学术会议上作报告计6分，在国内会议上作报告计4分，国内会议必须为全国性会议或其分会；自治区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学术会议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论坛作报告计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分；在校级研究生论坛中大会报告计2分。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校级及以上学术会议公开收录的会议论文（须有证明）为第一作者（或导师排名第一、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申请者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排名第二）赋分2分，其他排名不予认定。会议论文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认定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不超过（含）2篇。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以上学术交流赋分必需有相关证明材料，不认定证明材料仅为PPT或壁报的学术交流。</w:t>
            </w:r>
          </w:p>
          <w:p w14:paraId="1BFF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研究生创新项目：</w:t>
            </w:r>
          </w:p>
          <w:p w14:paraId="7D1B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主持校级、省部级、国家级等研究生科研创新项目分别认定5分、10分、15分。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仅限主持人，参与人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不予认定。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项目结题和获批均予以认定，每个项目只可认定一次。项目延期不予以认定。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申请者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参与导师主持的各类科研项目的，不予认定。</w:t>
            </w:r>
          </w:p>
          <w:p w14:paraId="54CF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学术专著：</w:t>
            </w:r>
          </w:p>
          <w:p w14:paraId="209E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担任主编、副主编、参编的学术专著、译著等计20分、15分、5分。</w:t>
            </w:r>
          </w:p>
          <w:p w14:paraId="4C64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7、国家和地方标准：</w:t>
            </w:r>
          </w:p>
          <w:p w14:paraId="56E8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国家标准、地方标准分别计10分、5分。署名第一单位必须是新疆农业大学动物医学学院，作者署名第一作者认定100%；导师第一作者、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申请者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第二作者认定100%；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申请者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排第三、四、五、六位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及以后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分别认定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0%、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0%、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0%、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0%。</w:t>
            </w:r>
          </w:p>
          <w:p w14:paraId="27B8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学术成果加分采用加权得分的计算办法：学术成果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得分=45×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个人学术成果原始得分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÷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该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类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申请者中最高原始分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3720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vAlign w:val="center"/>
          </w:tcPr>
          <w:p w14:paraId="1799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社会活动等综合绩效</w:t>
            </w:r>
          </w:p>
        </w:tc>
        <w:tc>
          <w:tcPr>
            <w:tcW w:w="791" w:type="dxa"/>
            <w:vAlign w:val="center"/>
          </w:tcPr>
          <w:p w14:paraId="6664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20%</w:t>
            </w:r>
          </w:p>
        </w:tc>
        <w:tc>
          <w:tcPr>
            <w:tcW w:w="7481" w:type="dxa"/>
            <w:vAlign w:val="center"/>
          </w:tcPr>
          <w:p w14:paraId="70CA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积极参加院校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（含联培单位）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组织的志愿服务、社会实践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活动（例如：三下乡、支教等）计3分。</w:t>
            </w:r>
          </w:p>
          <w:p w14:paraId="7B15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参加学院和学校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（含联培单位）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研究生会组织的志愿服务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（未做出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突出贡献和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未提供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证明材料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不予认定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）、参加基层培训及各类公益性基层科技服务（仅为采样或仅完成相关科研课题的基层科研活动不予认定）每次加0.5，累计不超过3分。（以公司盖章的科技服务证明材料或在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县市级以上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官方媒体公开报道的材料为认定依据。）（注：①一事一证；②同一活动周期内，内容连续、地点相同的服务，原则上按单次活动计分，不得拆分。）</w:t>
            </w:r>
          </w:p>
          <w:p w14:paraId="7252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积极参加班级、学院或学校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（含联培单位）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工作和集体活动，为班级或学院做出成绩者计3分（有证明材料）；获得院级、校级、自治区级奖项（如三好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标兵、优秀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研究生、优秀研究生干部、优秀党员等）分别计3分、5分、8分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同一年度内不同级别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获得者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取高分。</w:t>
            </w:r>
          </w:p>
          <w:p w14:paraId="77D4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获得校级、自治区、国家级等奖励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特等奖或一等奖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分别计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；二等奖分别计5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；三等奖分别计3分、5分、10分；优秀奖分别计1分、3分、5分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集体奖励的参与人不区分排名，按上述标准的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50%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认定（不足1分按1分算）。同一项目不累计加分，以最高级记分。以往各类奖助学金证书不予认定。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材料若超出常规的竞赛奖励范围由学院评审委员会决议是否认定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联培学生根据所获证书颁发单位级别予以认定。（注：奖励级别主要依据证书落款或盖章单位的行政级别认定。若证书存在多个盖章单位，则以级别最高的单位为准。）</w:t>
            </w:r>
          </w:p>
          <w:p w14:paraId="44C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学院颁发的各类荣誉证书，个人奖励每项加1分，最高认定3项；集体获奖第一参与人认定100%，其他参与人认定50%。</w:t>
            </w:r>
          </w:p>
          <w:p w14:paraId="64E4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联培学生根据所获证书颁发单位级别予以认定。</w:t>
            </w:r>
          </w:p>
          <w:p w14:paraId="3F8B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网上开展的各类竞赛，取得的各类证书，除学院评审委员会审定认可外，原则上不予认定。</w:t>
            </w:r>
          </w:p>
          <w:p w14:paraId="0A1C5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担任学生干部并对工作认真负责，深受好评，有突出成绩，班长、研究生会主席、党支部副书记、实验室安全员（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指学院备案的安全员，且担任安全员工作满6个月，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每位导师限1名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，统一由学院中心实验室开具证明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）计5分；研究生助管、其他干部计2分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，研究生会干事计1分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。学生干部工作不满一年者，按任职月份折算分数。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最高累计不超过10分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。</w:t>
            </w:r>
          </w:p>
          <w:p w14:paraId="7190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有见义勇为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且有证明材料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等计10分。</w:t>
            </w:r>
          </w:p>
          <w:p w14:paraId="0F09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获得执业兽医师资格证书计5分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所持证书的落款时间须在所评奖学金对应的评定学年之内，且学制期内仅可计分一次。</w:t>
            </w:r>
          </w:p>
          <w:p w14:paraId="0BA9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有其它各类未列出的社会表彰，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需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经学院评审委员会审定。</w:t>
            </w:r>
          </w:p>
          <w:p w14:paraId="0612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所有低于院级级别表彰和证书不予认定。</w:t>
            </w:r>
          </w:p>
          <w:p w14:paraId="1411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社会活动等综合绩效采用加权得分算法，即社会活动等综合绩效得分=20×（个人综合绩效项得分÷综合绩效项全部申请者中最高分）</w:t>
            </w:r>
          </w:p>
          <w:p w14:paraId="68EF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66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vAlign w:val="center"/>
          </w:tcPr>
          <w:p w14:paraId="40BF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减分项</w:t>
            </w:r>
          </w:p>
        </w:tc>
        <w:tc>
          <w:tcPr>
            <w:tcW w:w="791" w:type="dxa"/>
            <w:vAlign w:val="center"/>
          </w:tcPr>
          <w:p w14:paraId="5CC2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最高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</w:rPr>
              <w:t>0分</w:t>
            </w:r>
          </w:p>
        </w:tc>
        <w:tc>
          <w:tcPr>
            <w:tcW w:w="7481" w:type="dxa"/>
            <w:vAlign w:val="center"/>
          </w:tcPr>
          <w:p w14:paraId="7BF2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减分项直接在总成绩中减分，最高减分不超过10分。</w:t>
            </w:r>
          </w:p>
          <w:p w14:paraId="5135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非联培学生不参加或参加时间不足总时长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GB" w:eastAsia="zh-CN" w:bidi="ar-SA"/>
              </w:rPr>
              <w:t>1/3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的学院和学校组织的学术活动、集体劳动活动和其他指定参加的各项活动等，每次减1分。</w:t>
            </w:r>
          </w:p>
          <w:p w14:paraId="088C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联培学生应发挥好我院学生对外交流的名片作用，积极主动参加联培单位的各项活动，学院定期向各联培导师发放调查问卷，凡联培导师反馈我院学生参加集体活动不积极，或总体评价较差的，按学院上述规定予以扣分。对于学院及学校发布的、要求全体同学（含联培学生）必须配合完成的线上活动与事务，经学院及相关部门两次以上（含）督促后，仍出现迟交、未交或不配合情况的，每次扣1分。</w:t>
            </w:r>
          </w:p>
          <w:p w14:paraId="1142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所有参加活动认定以班级和学院研究生办考勤为准，最高减5分。</w:t>
            </w:r>
          </w:p>
        </w:tc>
      </w:tr>
      <w:tr w14:paraId="67E4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9" w:type="dxa"/>
            <w:gridSpan w:val="2"/>
            <w:vAlign w:val="center"/>
          </w:tcPr>
          <w:p w14:paraId="050F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7481" w:type="dxa"/>
            <w:vAlign w:val="center"/>
          </w:tcPr>
          <w:p w14:paraId="325C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总分=思想品德得分+学业成绩加权得分+学术成果加权得分+社会活动等综合绩效加权得分-减分项。</w:t>
            </w:r>
          </w:p>
        </w:tc>
      </w:tr>
      <w:tr w14:paraId="44FC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9" w:type="dxa"/>
            <w:gridSpan w:val="2"/>
            <w:vAlign w:val="center"/>
          </w:tcPr>
          <w:p w14:paraId="7439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81" w:type="dxa"/>
            <w:vAlign w:val="center"/>
          </w:tcPr>
          <w:p w14:paraId="3518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同分排序规则：成绩得分相同时，按以下顺序依次排序：</w:t>
            </w:r>
          </w:p>
          <w:p w14:paraId="6D15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（1）英语四六级成绩（分数高者优先）；</w:t>
            </w:r>
          </w:p>
          <w:p w14:paraId="5A5C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（2）英语四六级成绩仍相同的，依次对比科研贡献单项得分、学业成绩得分、家庭困难认定等级、学院或班级集体活动参与次数、班委综合评分。</w:t>
            </w:r>
          </w:p>
          <w:p w14:paraId="5771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材料提交与认定要求：</w:t>
            </w:r>
          </w:p>
          <w:p w14:paraId="1C21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（1）所有认定材料以最终提交的纸质版为准，异议补交材料需在学院规定期限内完成，逾期不予认定；</w:t>
            </w:r>
          </w:p>
          <w:p w14:paraId="5F9A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（2）申请材料须在规定时间内提交，逾期不予赋分；</w:t>
            </w:r>
          </w:p>
          <w:p w14:paraId="60F82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（3）复印件材料真实性存疑时，申请者需提供原件佐证，无法证明的不予赋分。</w:t>
            </w:r>
          </w:p>
          <w:p w14:paraId="54F2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参选材料相关规定：</w:t>
            </w:r>
          </w:p>
          <w:p w14:paraId="2B15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（1）成果、奖励等所有申请材料，需为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2025年5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月至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2026年4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月期间取得；</w:t>
            </w:r>
          </w:p>
          <w:p w14:paraId="3A06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）上一年度评优评奖已使用过的材料，不予认定；</w:t>
            </w:r>
          </w:p>
          <w:p w14:paraId="5F94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）无法提供或不能明确取得时间的材料，不予认定。</w:t>
            </w:r>
          </w:p>
          <w:p w14:paraId="6AB0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学生干部加分规则：研会成员、各类学生干部的加分，由院研究生教学科研办公室根据实际工作量核定；无工作量或工作量不达标的，不予加分。</w:t>
            </w:r>
          </w:p>
        </w:tc>
      </w:tr>
    </w:tbl>
    <w:p w14:paraId="3524D1B0">
      <w:pPr>
        <w:pStyle w:val="2"/>
        <w:spacing w:before="118" w:line="360" w:lineRule="auto"/>
        <w:ind w:left="593" w:right="607" w:firstLine="428"/>
        <w:jc w:val="both"/>
        <w:rPr>
          <w:b/>
          <w:bCs/>
          <w:spacing w:val="-4"/>
          <w:sz w:val="24"/>
          <w:szCs w:val="24"/>
        </w:rPr>
      </w:pPr>
    </w:p>
    <w:p w14:paraId="225AC3FA">
      <w:pPr>
        <w:pStyle w:val="2"/>
        <w:spacing w:before="187" w:line="287" w:lineRule="auto"/>
        <w:ind w:left="590" w:right="609" w:firstLine="478"/>
        <w:rPr>
          <w:sz w:val="24"/>
          <w:szCs w:val="24"/>
        </w:rPr>
      </w:pPr>
    </w:p>
    <w:sectPr>
      <w:footerReference r:id="rId5" w:type="default"/>
      <w:pgSz w:w="11906" w:h="16839"/>
      <w:pgMar w:top="1431" w:right="1216" w:bottom="1152" w:left="1216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CCEB0A0-5162-4171-9614-05BDB78977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E18326-36A3-4B4A-A467-3D031DB61C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EEC8C1-5C67-4940-B0F2-A198AE9E4D4E}"/>
  </w:font>
  <w:font w:name="方正小标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6D5B339-4D9A-4584-B3B0-6746D3DEA2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B2160">
    <w:pPr>
      <w:spacing w:line="169" w:lineRule="auto"/>
      <w:ind w:left="455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12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AB0918"/>
    <w:rsid w:val="0EB775D4"/>
    <w:rsid w:val="11733C86"/>
    <w:rsid w:val="144B713C"/>
    <w:rsid w:val="15396F94"/>
    <w:rsid w:val="1B1738D4"/>
    <w:rsid w:val="1B7B1224"/>
    <w:rsid w:val="1CB11B06"/>
    <w:rsid w:val="1D0E51AB"/>
    <w:rsid w:val="1FCB2EDF"/>
    <w:rsid w:val="24E76A0D"/>
    <w:rsid w:val="263E1A93"/>
    <w:rsid w:val="285D2B42"/>
    <w:rsid w:val="2B2B6F28"/>
    <w:rsid w:val="2D542766"/>
    <w:rsid w:val="2DC23E43"/>
    <w:rsid w:val="2EA27501"/>
    <w:rsid w:val="2F8F217B"/>
    <w:rsid w:val="307D1FD3"/>
    <w:rsid w:val="33114C55"/>
    <w:rsid w:val="3598340C"/>
    <w:rsid w:val="37C64260"/>
    <w:rsid w:val="37F963E3"/>
    <w:rsid w:val="39EB6200"/>
    <w:rsid w:val="3A3000B7"/>
    <w:rsid w:val="3BCE7B87"/>
    <w:rsid w:val="3BFD221A"/>
    <w:rsid w:val="3D235CB1"/>
    <w:rsid w:val="41780CC1"/>
    <w:rsid w:val="42D02437"/>
    <w:rsid w:val="44496945"/>
    <w:rsid w:val="44B30262"/>
    <w:rsid w:val="4724155C"/>
    <w:rsid w:val="48C77E38"/>
    <w:rsid w:val="4A8E6E5F"/>
    <w:rsid w:val="4B413ED2"/>
    <w:rsid w:val="4B8E2E8F"/>
    <w:rsid w:val="4CA50490"/>
    <w:rsid w:val="4DBF5582"/>
    <w:rsid w:val="4DFC4A28"/>
    <w:rsid w:val="4DFE60AA"/>
    <w:rsid w:val="4E6323B1"/>
    <w:rsid w:val="4F42290E"/>
    <w:rsid w:val="4FE70DC0"/>
    <w:rsid w:val="501142B9"/>
    <w:rsid w:val="523F4EE3"/>
    <w:rsid w:val="541C1980"/>
    <w:rsid w:val="54C811C0"/>
    <w:rsid w:val="55336200"/>
    <w:rsid w:val="5A3115B5"/>
    <w:rsid w:val="5D1C02FB"/>
    <w:rsid w:val="5DAA3B58"/>
    <w:rsid w:val="5E145476"/>
    <w:rsid w:val="5E7D150A"/>
    <w:rsid w:val="60AF1486"/>
    <w:rsid w:val="6283706E"/>
    <w:rsid w:val="6300421A"/>
    <w:rsid w:val="651641C9"/>
    <w:rsid w:val="69AE677E"/>
    <w:rsid w:val="6BD34BC2"/>
    <w:rsid w:val="6E0C534A"/>
    <w:rsid w:val="712612F0"/>
    <w:rsid w:val="74681C20"/>
    <w:rsid w:val="75956A44"/>
    <w:rsid w:val="7AF67F85"/>
    <w:rsid w:val="7C4E5B9F"/>
    <w:rsid w:val="7D8A2C07"/>
    <w:rsid w:val="7DFA4230"/>
    <w:rsid w:val="7F74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6534</Words>
  <Characters>6858</Characters>
  <TotalTime>50</TotalTime>
  <ScaleCrop>false</ScaleCrop>
  <LinksUpToDate>false</LinksUpToDate>
  <CharactersWithSpaces>6985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2025-05-08T16:59:00Z</dcterms:created>
  <dc:creator>李真</dc:creator>
  <cp:lastModifiedBy>FU</cp:lastModifiedBy>
  <dcterms:modified xsi:type="dcterms:W3CDTF">2026-04-13T11:09:41Z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2026-04-10T17:37:23Z</vt:filetime>
  </property>
  <property fmtid="{D5CDD505-2E9C-101B-9397-08002B2CF9AE}" pid="4" name="KSOTemplateDocerSaveRecord">
    <vt:lpwstr>eyJoZGlkIjoiZjZjNjRlNzU5NmE0YTA3ZWJhMDRjMGQ4MTcxZDM3OGEiLCJ1c2VySWQiOiI2OTI1Mzg5NTIifQ==</vt:lpwstr>
  </property>
  <property fmtid="{D5CDD505-2E9C-101B-9397-08002B2CF9AE}" pid="5" name="KSOProductBuildVer">
    <vt:lpwstr>2052-12.1.0.25222</vt:lpwstr>
  </property>
  <property fmtid="{D5CDD505-2E9C-101B-9397-08002B2CF9AE}" pid="6" name="ICV">
    <vt:lpwstr>A67442B1640E48C6B07CB87C11AB962A_13</vt:lpwstr>
  </property>
</Properties>
</file>