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39E2DC">
      <w:pPr>
        <w:spacing w:line="600" w:lineRule="exact"/>
        <w:jc w:val="center"/>
        <w:rPr>
          <w:rFonts w:hint="eastAsia"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动物医学学院202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6</w:t>
      </w:r>
      <w:r>
        <w:rPr>
          <w:rFonts w:hint="eastAsia" w:ascii="Times New Roman" w:hAnsi="Times New Roman" w:eastAsia="方正小标宋简体" w:cs="Times New Roman"/>
          <w:sz w:val="44"/>
          <w:szCs w:val="44"/>
        </w:rPr>
        <w:t>年推免生综合测评成绩</w:t>
      </w:r>
    </w:p>
    <w:p w14:paraId="2D54C7A0"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赋分细则</w:t>
      </w:r>
    </w:p>
    <w:p w14:paraId="614B94BC">
      <w:pPr>
        <w:pStyle w:val="15"/>
        <w:spacing w:line="600" w:lineRule="exact"/>
        <w:ind w:firstLine="640" w:firstLineChars="200"/>
        <w:jc w:val="left"/>
        <w:rPr>
          <w:rFonts w:hint="eastAsi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为贯彻落实国家推免生招生政策，保障遴选工作的“公平、公正、公开”，在稳定一级学科发展水平的基础上，全面考察并择优选拔综合素质突出的优秀学生，切实提升研究生生源质量。依据《</w:t>
      </w:r>
      <w:r>
        <w:rPr>
          <w:rFonts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新疆农业大学推荐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2026年</w:t>
      </w:r>
      <w:r>
        <w:rPr>
          <w:rFonts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优秀应届本科毕业生免试攻读研究生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工作</w:t>
      </w:r>
      <w:r>
        <w:rPr>
          <w:rFonts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实施办法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》、《新疆农业大学动物医学学院2026年推荐优秀应届本科毕业生免试攻读硕士研究生工作实施细则》，特制定新疆农业大学动物医学学院2026年推免生综合测评成绩赋分细则，本细则已经动物医学学院推免生工作小组讨论通过，现予以公示。</w:t>
      </w:r>
    </w:p>
    <w:p w14:paraId="270682DE">
      <w:pPr>
        <w:numPr>
          <w:ilvl w:val="0"/>
          <w:numId w:val="1"/>
        </w:numPr>
        <w:spacing w:line="600" w:lineRule="exact"/>
        <w:ind w:left="0" w:firstLine="636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综合排名成绩认定</w:t>
      </w:r>
    </w:p>
    <w:p w14:paraId="031E877D"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综合排名成绩由申请推免学生本科阶段前6个学期（学制为5年的为前8个学期）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学业成绩的加权平均分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（权重为80%）和综合能力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加权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成绩（权重为20%）组成，满分100分。即：综合排名成绩=[（被推荐学生平均学分绩点值/本专业第一名学生平均学分绩点值）*100]*80%+综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合能力</w:t>
      </w:r>
      <w:r>
        <w:rPr>
          <w:rFonts w:ascii="Times New Roman" w:hAnsi="Times New Roman" w:eastAsia="仿宋_GB2312" w:cs="Times New Roman"/>
          <w:sz w:val="32"/>
          <w:szCs w:val="32"/>
          <w:highlight w:val="none"/>
        </w:rPr>
        <w:t>加权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成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绩*20%。</w:t>
      </w:r>
    </w:p>
    <w:p w14:paraId="6C8D1CB8">
      <w:pPr>
        <w:spacing w:line="600" w:lineRule="exact"/>
        <w:ind w:firstLine="640" w:firstLineChars="200"/>
        <w:rPr>
          <w:rFonts w:hint="eastAsia"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Times New Roman"/>
          <w:sz w:val="32"/>
          <w:szCs w:val="32"/>
        </w:rPr>
        <w:t>学业成绩认定</w:t>
      </w:r>
    </w:p>
    <w:p w14:paraId="2EA5219F">
      <w:pPr>
        <w:ind w:firstLine="640" w:firstLineChars="200"/>
        <w:rPr>
          <w:rFonts w:hint="eastAsia" w:ascii="Times New Roman" w:hAnsi="Times New Roman" w:eastAsia="仿宋"/>
          <w:sz w:val="32"/>
          <w:szCs w:val="32"/>
          <w:lang w:eastAsia="zh-CN"/>
        </w:rPr>
      </w:pPr>
      <w:r>
        <w:rPr>
          <w:rFonts w:ascii="Times New Roman" w:hAnsi="Times New Roman" w:eastAsia="仿宋"/>
          <w:sz w:val="32"/>
          <w:szCs w:val="32"/>
        </w:rPr>
        <w:t>以教务系统导出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学分加权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平均分</w:t>
      </w:r>
      <w:r>
        <w:rPr>
          <w:rFonts w:ascii="Times New Roman" w:hAnsi="Times New Roman" w:eastAsia="仿宋"/>
          <w:sz w:val="32"/>
          <w:szCs w:val="32"/>
        </w:rPr>
        <w:t>数据为准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。</w:t>
      </w:r>
    </w:p>
    <w:p w14:paraId="62DE9406">
      <w:pPr>
        <w:spacing w:line="600" w:lineRule="exact"/>
        <w:ind w:firstLine="636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三、综测成绩认定</w:t>
      </w:r>
    </w:p>
    <w:p w14:paraId="5D9B7BF0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6" w:lineRule="exact"/>
        <w:ind w:right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</w:rPr>
        <w:t>指标包含：科研</w:t>
      </w:r>
      <w:r>
        <w:rPr>
          <w:rFonts w:hint="default"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  <w:lang w:val="en-US" w:eastAsia="zh-CN"/>
        </w:rPr>
        <w:t>成果</w:t>
      </w:r>
      <w:r>
        <w:rPr>
          <w:rFonts w:hint="default"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</w:rPr>
        <w:t>（Z1）；科研竞赛（Z2）；</w:t>
      </w:r>
      <w:r>
        <w:rPr>
          <w:rFonts w:hint="default"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  <w:lang w:val="en-US" w:eastAsia="zh-CN"/>
        </w:rPr>
        <w:t>技能特长（</w:t>
      </w:r>
      <w:r>
        <w:rPr>
          <w:rFonts w:hint="default"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</w:rPr>
        <w:t>Z3）</w:t>
      </w:r>
      <w:r>
        <w:rPr>
          <w:rFonts w:hint="default"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  <w:lang w:eastAsia="zh-CN"/>
        </w:rPr>
        <w:t>；</w:t>
      </w:r>
      <w:r>
        <w:rPr>
          <w:rFonts w:hint="default"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</w:rPr>
        <w:t>学生参军入伍服兵役（Z</w:t>
      </w:r>
      <w:r>
        <w:rPr>
          <w:rFonts w:hint="default"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</w:rPr>
        <w:t>）；参加志愿服务（Z</w:t>
      </w:r>
      <w:r>
        <w:rPr>
          <w:rFonts w:hint="default"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</w:rPr>
        <w:t>）；国际组织实习等社会服务（Z</w:t>
      </w:r>
      <w:r>
        <w:rPr>
          <w:rFonts w:hint="default"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</w:rPr>
        <w:t>）；综合荣誉等其他（Z</w:t>
      </w:r>
      <w:r>
        <w:rPr>
          <w:rFonts w:hint="default"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</w:rPr>
        <w:t>）</w:t>
      </w:r>
      <w:r>
        <w:rPr>
          <w:rFonts w:hint="default"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</w:rPr>
        <w:t>大类。</w:t>
      </w:r>
    </w:p>
    <w:p w14:paraId="273F7C7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6" w:lineRule="exact"/>
        <w:ind w:right="0" w:firstLine="640" w:firstLineChars="200"/>
        <w:jc w:val="center"/>
        <w:textAlignment w:val="auto"/>
        <w:rPr>
          <w:rFonts w:hint="default"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</w:rPr>
        <w:t>综合能力成绩=Σ（Zi成绩*Zi权重）</w:t>
      </w:r>
    </w:p>
    <w:p w14:paraId="1D01C9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>i=1～7</w:t>
      </w:r>
      <w:r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，各</w:t>
      </w:r>
      <w:r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highlight w:val="none"/>
          <w:lang w:val="en-US" w:eastAsia="zh-CN"/>
        </w:rPr>
        <w:t>项成绩</w:t>
      </w:r>
      <w:r>
        <w:rPr>
          <w:rFonts w:ascii="Times New Roman" w:hAnsi="Times New Roman" w:eastAsia="仿宋_GB2312" w:cs="Times New Roman"/>
          <w:color w:val="auto"/>
          <w:spacing w:val="0"/>
          <w:sz w:val="32"/>
          <w:szCs w:val="32"/>
          <w:highlight w:val="none"/>
          <w:lang w:val="en-US" w:eastAsia="zh-CN"/>
        </w:rPr>
        <w:t>加权</w:t>
      </w:r>
      <w:r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highlight w:val="none"/>
          <w:lang w:val="en-US" w:eastAsia="zh-CN"/>
        </w:rPr>
        <w:t>满分</w:t>
      </w:r>
      <w:r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均为100分；其中Z1权重为30%，Z2权重为30%，Z3权重为20%、Z4、Z5、Z6、Z7权重各为5%。</w:t>
      </w:r>
    </w:p>
    <w:p w14:paraId="2B37F2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6" w:lineRule="exact"/>
        <w:ind w:right="0" w:firstLine="640" w:firstLineChars="200"/>
        <w:textAlignment w:val="auto"/>
        <w:rPr>
          <w:rFonts w:hint="eastAsia" w:ascii="宋体" w:hAnsi="宋体" w:eastAsia="仿宋_GB2312" w:cs="仿宋_GB2312"/>
          <w:b w:val="0"/>
          <w:kern w:val="0"/>
          <w:sz w:val="32"/>
          <w:szCs w:val="32"/>
          <w:shd w:val="clear" w:color="auto" w:fill="FFFFFF"/>
        </w:rPr>
      </w:pPr>
      <w:r>
        <w:rPr>
          <w:rFonts w:hint="eastAsia" w:ascii="宋体" w:hAnsi="宋体" w:eastAsia="仿宋_GB2312" w:cs="仿宋_GB2312"/>
          <w:b w:val="0"/>
          <w:kern w:val="0"/>
          <w:sz w:val="32"/>
          <w:szCs w:val="32"/>
          <w:shd w:val="clear" w:color="auto" w:fill="FFFFFF"/>
        </w:rPr>
        <w:t>计分规则</w:t>
      </w:r>
      <w:r>
        <w:rPr>
          <w:rFonts w:hint="eastAsia" w:ascii="宋体" w:hAnsi="宋体" w:eastAsia="仿宋_GB2312" w:cs="仿宋_GB2312"/>
          <w:b w:val="0"/>
          <w:kern w:val="0"/>
          <w:sz w:val="32"/>
          <w:szCs w:val="32"/>
          <w:shd w:val="clear" w:color="auto" w:fill="FFFFFF"/>
          <w:lang w:eastAsia="zh-CN"/>
        </w:rPr>
        <w:t>：</w:t>
      </w:r>
    </w:p>
    <w:p w14:paraId="5A8F4999"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 w:line="600" w:lineRule="exact"/>
        <w:ind w:left="1723" w:hanging="1080"/>
        <w:jc w:val="both"/>
        <w:rPr>
          <w:rFonts w:hint="eastAsia" w:ascii="Times New Roman" w:hAnsi="楷体" w:eastAsia="楷体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楷体" w:eastAsia="楷体" w:cs="Times New Roman"/>
          <w:bCs/>
          <w:kern w:val="0"/>
          <w:sz w:val="32"/>
          <w:szCs w:val="32"/>
          <w:lang w:val="en-US" w:eastAsia="zh-CN" w:bidi="ar-SA"/>
        </w:rPr>
        <w:t>科研成果</w:t>
      </w:r>
    </w:p>
    <w:p w14:paraId="3B0EAA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.参与校级、自治区级和国家级大学生创新创业项目通过验收且结果合格的，主持人分别认定20、40、60</w:t>
      </w:r>
      <w:r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分</w:t>
      </w:r>
      <w:r>
        <w:rPr>
          <w:rFonts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，其他小组成员减半；主持人不</w:t>
      </w:r>
      <w:r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限项目数量，</w:t>
      </w:r>
      <w:r>
        <w:rPr>
          <w:rFonts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其他小组人员限两项；</w:t>
      </w:r>
    </w:p>
    <w:p w14:paraId="7CA0F157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6" w:lineRule="exact"/>
        <w:ind w:right="0" w:firstLine="640" w:firstLineChars="200"/>
        <w:textAlignment w:val="auto"/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2.在校期间</w:t>
      </w:r>
      <w:r>
        <w:rPr>
          <w:rFonts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</w:rPr>
        <w:t>学生以独立作者或第一作者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eastAsia="zh-CN"/>
        </w:rPr>
        <w:t>（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第一作者单位或通讯作者单位须为我校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eastAsia="zh-CN"/>
        </w:rPr>
        <w:t>）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</w:rPr>
        <w:t>在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公</w:t>
      </w:r>
      <w:r>
        <w:rPr>
          <w:rFonts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  <w:lang w:val="en-US" w:eastAsia="zh-CN"/>
        </w:rPr>
        <w:t>开出版发行的</w:t>
      </w:r>
      <w:r>
        <w:rPr>
          <w:rFonts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</w:rPr>
        <w:t>期刊上及以上层次发表与学业相关的科研论文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eastAsia="zh-CN"/>
        </w:rPr>
        <w:t>（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</w:rPr>
        <w:t>论文需要见刊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或提供检索收录证明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eastAsia="zh-CN"/>
        </w:rPr>
        <w:t>）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</w:rPr>
        <w:t>，需专家评审小组按规</w:t>
      </w:r>
      <w:r>
        <w:rPr>
          <w:rFonts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</w:rPr>
        <w:t>定程序予以认定，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</w:rPr>
        <w:t>上限分值100分。科研论文等级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依据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</w:rPr>
        <w:t>《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新疆农业大学高水平论文认定办法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</w:rPr>
        <w:t>》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A-E类论文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</w:rPr>
        <w:t>赋分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eastAsia="zh-CN"/>
        </w:rPr>
        <w:t>。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其中A类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</w:rPr>
        <w:t>100分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eastAsia="zh-CN"/>
        </w:rPr>
        <w:t>、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B类90分、C类80分、D类70分、E类60分、其他核心50分、一般期刊20分；</w:t>
      </w:r>
    </w:p>
    <w:p w14:paraId="7F3DEE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3.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出版刊物或著作，以主编身份参编著作并正式出版认定80分，副主编认定60分，编委认定30分，以出版刊物或著作为准；</w:t>
      </w:r>
    </w:p>
    <w:p w14:paraId="550376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pacing w:val="0"/>
          <w:sz w:val="32"/>
          <w:szCs w:val="32"/>
          <w:highlight w:val="yellow"/>
          <w:lang w:val="en-US" w:eastAsia="zh-CN"/>
        </w:rPr>
      </w:pPr>
      <w:r>
        <w:rPr>
          <w:rFonts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4.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学生在校期间作为第一发明人在本科阶段授权的专利，发明专利认定80分、实用新型专利认定20分、外观设计专利认定20分、软件著作权认定10分；</w:t>
      </w:r>
    </w:p>
    <w:p w14:paraId="0BD58A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color w:val="auto"/>
          <w:spacing w:val="0"/>
          <w:sz w:val="32"/>
          <w:szCs w:val="32"/>
        </w:rPr>
      </w:pPr>
      <w:r>
        <w:rPr>
          <w:rFonts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5.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参加学术会议，以报告人身份作会议报告或交流，院级、校级、省部级、国家级、国际性会议分别认定10、20、30、40、50分，以会议邀请或会议报告证书为准。</w:t>
      </w:r>
    </w:p>
    <w:p w14:paraId="30CF7718"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 w:line="600" w:lineRule="exact"/>
        <w:ind w:left="1723" w:hanging="1080"/>
        <w:jc w:val="both"/>
        <w:rPr>
          <w:rFonts w:hint="eastAsia" w:ascii="Times New Roman" w:hAnsi="楷体" w:eastAsia="楷体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楷体" w:eastAsia="楷体" w:cs="Times New Roman"/>
          <w:bCs/>
          <w:kern w:val="0"/>
          <w:sz w:val="32"/>
          <w:szCs w:val="32"/>
          <w:lang w:val="en-US" w:eastAsia="zh-CN" w:bidi="ar-SA"/>
        </w:rPr>
        <w:t>科研竞赛</w:t>
      </w:r>
    </w:p>
    <w:p w14:paraId="3880D7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1.参加三级学科竞赛、创新创业竞赛或申报科技成果奖项，获得优秀奖、三等奖、二等奖、一等奖（特等奖）的，第一作者/主持人分别认定5、10、25、40分，其他小组成员减半；</w:t>
      </w:r>
    </w:p>
    <w:p w14:paraId="2B8E8D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3.参加二级学科竞赛、创新创业竞赛或申报科技成果奖项，获得优秀奖、三等奖、二等奖、一等奖（特等奖）的，第一作者/主持人分别认定20、40、50、60分，其他小组成员减半；</w:t>
      </w:r>
    </w:p>
    <w:p w14:paraId="7C9F9E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4.参加一级学科竞赛、创新创业竞赛或申报科技成果奖项，获得优秀奖、三等奖、二等奖、一等奖（特等奖）的，第一作者/主持人分别认定30、60、80、100分，其他小组成员减半；</w:t>
      </w:r>
    </w:p>
    <w:p w14:paraId="063ECC2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6" w:lineRule="exact"/>
        <w:ind w:right="0" w:firstLine="640" w:firstLineChars="200"/>
        <w:textAlignment w:val="auto"/>
        <w:rPr>
          <w:rFonts w:ascii="Times New Roman" w:hAnsi="Times New Roman" w:eastAsia="仿宋_GB2312" w:cs="Times New Roman"/>
          <w:lang w:val="en-US" w:eastAsia="zh-CN"/>
        </w:rPr>
      </w:pPr>
      <w:r>
        <w:rPr>
          <w:rFonts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</w:rPr>
        <w:t>原则上仅限作为主力成员</w:t>
      </w:r>
      <w:r>
        <w:rPr>
          <w:rFonts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  <w:lang w:eastAsia="zh-CN"/>
        </w:rPr>
        <w:t>（</w:t>
      </w:r>
      <w:r>
        <w:rPr>
          <w:rFonts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  <w:lang w:val="en-US" w:eastAsia="zh-CN"/>
        </w:rPr>
        <w:t>前三名</w:t>
      </w:r>
      <w:r>
        <w:rPr>
          <w:rFonts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  <w:lang w:eastAsia="zh-CN"/>
        </w:rPr>
        <w:t>）</w:t>
      </w:r>
      <w:r>
        <w:rPr>
          <w:rFonts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</w:rPr>
        <w:t>参加与学业相关的国内权威科研竞赛（全国赛）并获得三等奖以上奖励（国际赛事参照执行，但不得低于国内赛事相关要求）</w:t>
      </w:r>
      <w:r>
        <w:rPr>
          <w:rFonts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  <w:lang w:eastAsia="zh-CN"/>
        </w:rPr>
        <w:t>；</w:t>
      </w:r>
      <w:r>
        <w:rPr>
          <w:rFonts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  <w:lang w:val="en-US" w:eastAsia="zh-CN"/>
        </w:rPr>
        <w:t>同一项目在两个及以上级别分别获奖，取最高分。</w:t>
      </w:r>
    </w:p>
    <w:p w14:paraId="19609252"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 w:line="600" w:lineRule="exact"/>
        <w:ind w:left="1723" w:hanging="1080"/>
        <w:jc w:val="both"/>
        <w:rPr>
          <w:rFonts w:hint="eastAsia" w:ascii="Times New Roman" w:hAnsi="楷体" w:eastAsia="楷体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楷体" w:eastAsia="楷体" w:cs="Times New Roman"/>
          <w:bCs/>
          <w:kern w:val="0"/>
          <w:sz w:val="32"/>
          <w:szCs w:val="32"/>
          <w:lang w:val="en-US" w:eastAsia="zh-CN" w:bidi="ar-SA"/>
        </w:rPr>
        <w:t>技能特长</w:t>
      </w:r>
    </w:p>
    <w:p w14:paraId="4DF8B96A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6" w:lineRule="exact"/>
        <w:ind w:right="0" w:firstLine="640" w:firstLineChars="200"/>
        <w:textAlignment w:val="auto"/>
        <w:rPr>
          <w:rFonts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ascii="Times New Roman" w:hAnsi="Times New Roman" w:eastAsia="仿宋_GB2312" w:cs="Times New Roman"/>
          <w:b w:val="0"/>
          <w:kern w:val="0"/>
          <w:sz w:val="32"/>
          <w:szCs w:val="32"/>
          <w:shd w:val="clear" w:color="auto" w:fill="FFFFFF"/>
          <w:lang w:val="en-US" w:eastAsia="zh-CN"/>
        </w:rPr>
        <w:t>1.通过全国执业兽医资格考试基础、预防、临床和综合应用4个考试科目，分别认定15分。</w:t>
      </w:r>
    </w:p>
    <w:p w14:paraId="28EB87A4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76" w:lineRule="exact"/>
        <w:ind w:right="0" w:firstLine="640" w:firstLineChars="200"/>
        <w:textAlignment w:val="auto"/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2.非英语专业学生通过全国大学外语四级、六级（或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雅思成绩≥</w:t>
      </w:r>
      <w:r>
        <w:rPr>
          <w:rFonts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5.5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分或托福成绩≥</w:t>
      </w:r>
      <w:r>
        <w:rPr>
          <w:rFonts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70</w:t>
      </w:r>
      <w:r>
        <w:rPr>
          <w:rFonts w:ascii="Times New Roman" w:hAnsi="Times New Roman" w:eastAsia="仿宋_GB2312" w:cs="Times New Roman"/>
          <w:color w:val="auto"/>
          <w:sz w:val="32"/>
          <w:szCs w:val="32"/>
        </w:rPr>
        <w:t>分</w:t>
      </w:r>
      <w:r>
        <w:rPr>
          <w:rFonts w:ascii="Times New Roman" w:hAnsi="Times New Roman" w:eastAsia="仿宋_GB2312" w:cs="Times New Roman"/>
          <w:color w:val="auto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考试并取得证书，分别认定40、60分</w:t>
      </w:r>
      <w:r>
        <w:rPr>
          <w:rFonts w:hint="eastAsia"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，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此项只取最高分</w:t>
      </w:r>
      <w:r>
        <w:rPr>
          <w:rFonts w:hint="eastAsia"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认定，不重复累计</w:t>
      </w:r>
      <w:r>
        <w:rPr>
          <w:rFonts w:ascii="Times New Roman" w:hAnsi="Times New Roman" w:eastAsia="仿宋_GB2312" w:cs="Times New Roman"/>
          <w:b w:val="0"/>
          <w:color w:val="auto"/>
          <w:kern w:val="0"/>
          <w:sz w:val="32"/>
          <w:szCs w:val="32"/>
          <w:shd w:val="clear" w:color="auto" w:fill="FFFFFF"/>
          <w:lang w:val="en-US" w:eastAsia="zh-CN"/>
        </w:rPr>
        <w:t>。</w:t>
      </w:r>
    </w:p>
    <w:p w14:paraId="0622FD99">
      <w:pPr>
        <w:ind w:firstLine="640" w:firstLineChars="200"/>
        <w:rPr>
          <w:rFonts w:ascii="Times New Roman" w:hAnsi="Times New Roman" w:eastAsia="仿宋_GB2312" w:cs="Times New Roman"/>
          <w:color w:val="auto"/>
          <w:lang w:val="en-US" w:eastAsia="zh-CN"/>
        </w:rPr>
      </w:pPr>
      <w:r>
        <w:rPr>
          <w:rFonts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3.国家级动物医学相关专业技能竞赛（动物医学专业技能大赛、雄鹰杯小动物医师技能大赛）获得特等奖、一等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奖</w:t>
      </w:r>
      <w:bookmarkStart w:id="0" w:name="_GoBack"/>
      <w:bookmarkEnd w:id="0"/>
      <w:r>
        <w:rPr>
          <w:rFonts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认定60分；二等奖认定40分；三等奖认定20分；校级动物医学相关专业类竞赛获得一等奖认定10分；二等奖认定5分；三等奖认定2分；</w:t>
      </w:r>
      <w:r>
        <w:rPr>
          <w:rFonts w:ascii="Times New Roman" w:hAnsi="Times New Roman" w:eastAsia="仿宋_GB2312" w:cs="Times New Roman"/>
          <w:color w:val="auto"/>
          <w:spacing w:val="0"/>
          <w:sz w:val="32"/>
          <w:szCs w:val="32"/>
          <w:u w:val="none"/>
          <w:lang w:val="en-US" w:eastAsia="zh-CN"/>
        </w:rPr>
        <w:t>本项只取最高等级赋分。</w:t>
      </w:r>
    </w:p>
    <w:p w14:paraId="1384A252"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 w:line="600" w:lineRule="exact"/>
        <w:ind w:left="1723" w:hanging="1080"/>
        <w:jc w:val="both"/>
        <w:rPr>
          <w:rFonts w:hint="eastAsia" w:ascii="Times New Roman" w:hAnsi="楷体" w:eastAsia="楷体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楷体" w:eastAsia="楷体" w:cs="Times New Roman"/>
          <w:bCs/>
          <w:kern w:val="0"/>
          <w:sz w:val="32"/>
          <w:szCs w:val="32"/>
          <w:lang w:val="en-US" w:eastAsia="zh-CN" w:bidi="ar-SA"/>
        </w:rPr>
        <w:t>学生参军入伍服兵役</w:t>
      </w:r>
    </w:p>
    <w:p w14:paraId="3B9EE0FC">
      <w:pPr>
        <w:ind w:firstLine="640" w:firstLineChars="200"/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</w:pPr>
      <w:r>
        <w:rPr>
          <w:rFonts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大学在校期间参军入伍，服役两年及以上按照军队政策退伍的，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认定100分。</w:t>
      </w:r>
    </w:p>
    <w:p w14:paraId="423CC8A9"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 w:line="600" w:lineRule="exact"/>
        <w:ind w:left="1723" w:hanging="1080"/>
        <w:jc w:val="both"/>
        <w:rPr>
          <w:rFonts w:hint="eastAsia" w:ascii="Times New Roman" w:hAnsi="楷体" w:eastAsia="楷体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楷体" w:eastAsia="楷体" w:cs="Times New Roman"/>
          <w:bCs/>
          <w:kern w:val="0"/>
          <w:sz w:val="32"/>
          <w:szCs w:val="32"/>
          <w:lang w:val="en-US" w:eastAsia="zh-CN" w:bidi="ar-SA"/>
        </w:rPr>
        <w:t>志愿服务</w:t>
      </w:r>
    </w:p>
    <w:p w14:paraId="489ABDAF">
      <w:pPr>
        <w:ind w:firstLine="640" w:firstLineChars="200"/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</w:pPr>
      <w:r>
        <w:rPr>
          <w:rFonts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在校外参加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校级（厅局级）、</w:t>
      </w:r>
      <w:r>
        <w:rPr>
          <w:rFonts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自治区级、国家级的支教助残、社区服务、公益环保、赛会服务、海外服务等各类志愿公益活动，需提供组织方出具的认证证书或证明，分别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认定</w:t>
      </w:r>
      <w:r>
        <w:rPr>
          <w:rFonts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20、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60、100分，本项只取最高等级赋分</w:t>
      </w:r>
      <w:r>
        <w:rPr>
          <w:rFonts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；</w:t>
      </w:r>
    </w:p>
    <w:p w14:paraId="42D0B434"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 w:line="600" w:lineRule="exact"/>
        <w:ind w:left="1723" w:hanging="1080"/>
        <w:jc w:val="both"/>
        <w:rPr>
          <w:rFonts w:hint="eastAsia" w:ascii="Times New Roman" w:hAnsi="楷体" w:eastAsia="楷体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楷体" w:eastAsia="楷体" w:cs="Times New Roman"/>
          <w:bCs/>
          <w:kern w:val="0"/>
          <w:sz w:val="32"/>
          <w:szCs w:val="32"/>
          <w:lang w:val="en-US" w:eastAsia="zh-CN" w:bidi="ar-SA"/>
        </w:rPr>
        <w:t>国际组织实习</w:t>
      </w:r>
    </w:p>
    <w:p w14:paraId="3EA04E5C">
      <w:pPr>
        <w:ind w:firstLine="640" w:firstLineChars="200"/>
        <w:rPr>
          <w:rFonts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</w:pPr>
      <w:r>
        <w:rPr>
          <w:rFonts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大学在校期间，前往政府间国际组织（如联合国、世界银行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、</w:t>
      </w:r>
      <w:r>
        <w:rPr>
          <w:rFonts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上海合作组织等）或具有重要国际影响力的非政府组织（如国际红十字会与红新月会联合会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、</w:t>
      </w:r>
      <w:r>
        <w:rPr>
          <w:rFonts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世界野生动物基金会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等</w:t>
      </w:r>
      <w:r>
        <w:rPr>
          <w:rFonts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）进行一段时间的短期工作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，</w:t>
      </w:r>
      <w:r>
        <w:rPr>
          <w:rFonts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需提供组织方出具的认证证书或证明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，认定100分。</w:t>
      </w:r>
    </w:p>
    <w:p w14:paraId="641528CE">
      <w:pPr>
        <w:pStyle w:val="6"/>
        <w:numPr>
          <w:ilvl w:val="0"/>
          <w:numId w:val="2"/>
        </w:numPr>
        <w:shd w:val="clear" w:color="auto" w:fill="FFFFFF"/>
        <w:spacing w:before="0" w:beforeAutospacing="0" w:after="0" w:afterAutospacing="0" w:line="600" w:lineRule="exact"/>
        <w:ind w:left="1723" w:hanging="1080"/>
        <w:jc w:val="both"/>
        <w:rPr>
          <w:rFonts w:hint="eastAsia" w:ascii="Times New Roman" w:hAnsi="楷体" w:eastAsia="楷体" w:cs="Times New Roman"/>
          <w:bCs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楷体" w:eastAsia="楷体" w:cs="Times New Roman"/>
          <w:bCs/>
          <w:kern w:val="0"/>
          <w:sz w:val="32"/>
          <w:szCs w:val="32"/>
          <w:lang w:val="en-US" w:eastAsia="zh-CN" w:bidi="ar-SA"/>
        </w:rPr>
        <w:t>综合荣誉等其他</w:t>
      </w:r>
    </w:p>
    <w:p w14:paraId="58C02A3A">
      <w:pPr>
        <w:ind w:firstLine="640" w:firstLineChars="200"/>
        <w:rPr>
          <w:rFonts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</w:pPr>
      <w:r>
        <w:rPr>
          <w:rFonts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学生在校期间获得院级各类荣誉称号、先进个人的，认定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5分</w:t>
      </w:r>
      <w:r>
        <w:rPr>
          <w:rFonts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；获得校级各类荣誉称号、先进个人的，认定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20分</w:t>
      </w:r>
      <w:r>
        <w:rPr>
          <w:rFonts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；获得自治区级各类荣誉称号、先进个人的，认定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60分</w:t>
      </w:r>
      <w:r>
        <w:rPr>
          <w:rFonts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；国家级各类荣誉称号、先进个人的，认定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100分</w:t>
      </w:r>
      <w:r>
        <w:rPr>
          <w:rFonts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。同一荣誉称号在两个及以上级别分别获奖，认定最高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分</w:t>
      </w:r>
      <w:r>
        <w:rPr>
          <w:rFonts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。团队获得荣誉称号的，主要人员获得全额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分数</w:t>
      </w:r>
      <w:r>
        <w:rPr>
          <w:rFonts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（最多认定三人），其他成员减半。</w:t>
      </w:r>
      <w:r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同一类型荣誉称号取最高级别认定。本项目最多认定5项。</w:t>
      </w:r>
    </w:p>
    <w:p w14:paraId="48F5FB44">
      <w:pPr>
        <w:ind w:firstLine="640" w:firstLineChars="200"/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团体获奖第一参赛人认定100%，第二、第三参赛人认定50%，第四及以后参赛人认定30%，证书明确标注排名不分前后者均按第一参赛人计算；所有团体类奖励，未显示姓名的一律不予认定。</w:t>
      </w:r>
    </w:p>
    <w:p w14:paraId="6557023C">
      <w:pPr>
        <w:ind w:firstLine="640" w:firstLineChars="200"/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spacing w:val="0"/>
          <w:kern w:val="2"/>
          <w:sz w:val="32"/>
          <w:szCs w:val="32"/>
          <w:u w:val="none"/>
          <w:lang w:val="en-US" w:eastAsia="zh-CN" w:bidi="ar-SA"/>
        </w:rPr>
        <w:t>注：所有大学期间的奖学金、访学证明一律不予加分；协会、行业类竞赛按校级竞赛认定。</w:t>
      </w:r>
    </w:p>
    <w:p w14:paraId="794B73E5">
      <w:pPr>
        <w:pStyle w:val="5"/>
        <w:rPr>
          <w:lang w:val="en-US"/>
        </w:rPr>
      </w:pPr>
    </w:p>
    <w:p w14:paraId="64E76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textAlignment w:val="auto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以上证明材料，准备原件及复印件各一份，需经班主任审核其真实性。申报书填写内容必须有</w:t>
      </w:r>
      <w:r>
        <w:rPr>
          <w:rFonts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附件材料</w:t>
      </w:r>
      <w:r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支撑，</w:t>
      </w:r>
      <w:r>
        <w:rPr>
          <w:rFonts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无附件材料者一律不予认定。</w:t>
      </w:r>
    </w:p>
    <w:p w14:paraId="0D295C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textAlignment w:val="auto"/>
        <w:rPr>
          <w:rFonts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所有报名材料电子版于9月5日</w:t>
      </w:r>
      <w:r>
        <w:rPr>
          <w:rFonts w:hint="eastAsia"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16</w:t>
      </w:r>
      <w:r>
        <w:rPr>
          <w:rFonts w:ascii="Times New Roman" w:hAnsi="Times New Roman" w:eastAsia="仿宋_GB2312" w:cs="Times New Roman"/>
          <w:color w:val="auto"/>
          <w:spacing w:val="0"/>
          <w:sz w:val="32"/>
          <w:szCs w:val="32"/>
          <w:lang w:val="en-US" w:eastAsia="zh-CN"/>
        </w:rPr>
        <w:t>:00前，发送至邮箱522576603@qq.com（命名要求：班级-姓名-学号-推免生报名），纸质版于9月5日16:00前，提交至学院教学科研办公室，逾期不予认定。</w:t>
      </w:r>
    </w:p>
    <w:p w14:paraId="766B2A14">
      <w:pPr>
        <w:rPr>
          <w:rFonts w:hint="eastAsia" w:ascii="Times New Roman" w:hAnsi="Times New Roman" w:eastAsia="仿宋"/>
          <w:sz w:val="32"/>
          <w:szCs w:val="32"/>
        </w:rPr>
      </w:pPr>
    </w:p>
    <w:p w14:paraId="38F6AD0A">
      <w:pPr>
        <w:ind w:firstLine="640" w:firstLineChars="200"/>
        <w:jc w:val="right"/>
        <w:rPr>
          <w:rFonts w:hint="eastAsia"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动物医学</w:t>
      </w:r>
      <w:r>
        <w:rPr>
          <w:rFonts w:ascii="Times New Roman" w:hAnsi="Times New Roman" w:eastAsia="仿宋"/>
          <w:sz w:val="32"/>
          <w:szCs w:val="32"/>
        </w:rPr>
        <w:t>学院推免生工作小组</w:t>
      </w:r>
    </w:p>
    <w:p w14:paraId="41118F7B">
      <w:pPr>
        <w:ind w:firstLine="640" w:firstLineChars="200"/>
        <w:jc w:val="center"/>
      </w:pPr>
      <w:r>
        <w:rPr>
          <w:rFonts w:hint="eastAsia" w:ascii="Times New Roman" w:hAnsi="Times New Roman" w:eastAsia="仿宋"/>
          <w:sz w:val="32"/>
          <w:szCs w:val="32"/>
        </w:rPr>
        <w:t xml:space="preserve">                           </w:t>
      </w:r>
      <w:r>
        <w:rPr>
          <w:rFonts w:ascii="Times New Roman" w:hAnsi="Times New Roman" w:eastAsia="仿宋"/>
          <w:sz w:val="32"/>
          <w:szCs w:val="32"/>
        </w:rPr>
        <w:t>202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"/>
          <w:sz w:val="32"/>
          <w:szCs w:val="32"/>
        </w:rPr>
        <w:t>年9月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1447B4"/>
    <w:multiLevelType w:val="singleLevel"/>
    <w:tmpl w:val="391447B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12886C1"/>
    <w:multiLevelType w:val="singleLevel"/>
    <w:tmpl w:val="512886C1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</w:compat>
  <w:rsids>
    <w:rsidRoot w:val="00000000"/>
    <w:rsid w:val="0FE2103D"/>
    <w:rsid w:val="161216AD"/>
    <w:rsid w:val="203C3DDD"/>
    <w:rsid w:val="3DFA6133"/>
    <w:rsid w:val="5E343D6A"/>
    <w:rsid w:val="6F767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2"/>
    <w:qFormat/>
    <w:uiPriority w:val="0"/>
    <w:pPr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  <w:lang w:val="en-US" w:eastAsia="zh-CN"/>
    </w:rPr>
  </w:style>
  <w:style w:type="paragraph" w:styleId="4">
    <w:name w:val="heading 3"/>
    <w:basedOn w:val="1"/>
    <w:next w:val="1"/>
    <w:link w:val="13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0"/>
    <w:pPr>
      <w:spacing w:after="120" w:afterAutospacing="0"/>
    </w:p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basedOn w:val="8"/>
    <w:qFormat/>
    <w:uiPriority w:val="0"/>
    <w:rPr>
      <w:i/>
    </w:rPr>
  </w:style>
  <w:style w:type="character" w:customStyle="1" w:styleId="11">
    <w:name w:val="heading 1 Char"/>
    <w:basedOn w:val="8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  <w:lang w:val="en-US" w:eastAsia="zh-CN" w:bidi="ar-SA"/>
    </w:rPr>
  </w:style>
  <w:style w:type="character" w:customStyle="1" w:styleId="12">
    <w:name w:val="heading 2 Char"/>
    <w:basedOn w:val="8"/>
    <w:link w:val="3"/>
    <w:qFormat/>
    <w:uiPriority w:val="0"/>
    <w:rPr>
      <w:rFonts w:ascii="宋体" w:hAnsi="宋体" w:eastAsia="宋体" w:cs="宋体"/>
      <w:b/>
      <w:bCs/>
      <w:kern w:val="0"/>
      <w:sz w:val="36"/>
      <w:szCs w:val="36"/>
      <w:lang w:val="en-US" w:eastAsia="zh-CN" w:bidi="ar-SA"/>
    </w:rPr>
  </w:style>
  <w:style w:type="character" w:customStyle="1" w:styleId="13">
    <w:name w:val="heading 3 Char"/>
    <w:basedOn w:val="8"/>
    <w:link w:val="4"/>
    <w:qFormat/>
    <w:uiPriority w:val="0"/>
    <w:rPr>
      <w:rFonts w:ascii="Calibri" w:hAnsi="Calibri" w:eastAsia="宋体" w:cs="Times New Roman"/>
      <w:b/>
      <w:bCs/>
      <w:kern w:val="2"/>
      <w:sz w:val="32"/>
      <w:szCs w:val="32"/>
      <w:lang w:val="en-US" w:eastAsia="zh-CN" w:bidi="ar-SA"/>
    </w:rPr>
  </w:style>
  <w:style w:type="paragraph" w:customStyle="1" w:styleId="14">
    <w:name w:val="p0"/>
    <w:basedOn w:val="1"/>
    <w:qFormat/>
    <w:uiPriority w:val="0"/>
    <w:pPr>
      <w:widowControl/>
    </w:pPr>
    <w:rPr>
      <w:rFonts w:ascii="Calibri" w:hAnsi="Calibri" w:cs="宋体"/>
      <w:kern w:val="0"/>
      <w:sz w:val="32"/>
      <w:szCs w:val="32"/>
    </w:rPr>
  </w:style>
  <w:style w:type="paragraph" w:customStyle="1" w:styleId="15">
    <w:name w:val="p17"/>
    <w:basedOn w:val="1"/>
    <w:qFormat/>
    <w:uiPriority w:val="0"/>
    <w:pPr>
      <w:widowControl/>
      <w:spacing w:line="360" w:lineRule="auto"/>
      <w:jc w:val="center"/>
    </w:pPr>
    <w:rPr>
      <w:rFonts w:ascii="黑体" w:hAnsi="黑体" w:eastAsia="黑体" w:cs="宋体"/>
      <w:b/>
      <w:bCs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 主题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主题">
      <a:majorFont>
        <a:latin typeface=""/>
        <a:ea typeface=""/>
        <a:cs typeface=""/>
      </a:majorFont>
      <a:minorFont>
        <a:latin typeface=""/>
        <a:ea typeface=""/>
        <a:cs typeface=""/>
      </a:minorFont>
    </a:fontScheme>
    <a:fmtScheme name="Office 主题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1"/>
        </a:gradFill>
      </a:fillStyleLst>
      <a:lnStyleLst>
        <a:ln w="6350" cap="flat" cmpd="sng">
          <a:solidFill>
            <a:schemeClr val="phClr"/>
          </a:solidFill>
          <a:prstDash val="solid"/>
          <a:miter/>
        </a:ln>
        <a:ln w="12700" cap="flat" cmpd="sng">
          <a:solidFill>
            <a:schemeClr val="phClr"/>
          </a:solidFill>
          <a:prstDash val="solid"/>
          <a:miter/>
        </a:ln>
        <a:ln w="19050" cap="flat" cmpd="sng">
          <a:solidFill>
            <a:schemeClr val="phClr"/>
          </a:solidFill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2745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1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11A00DD3-C5F1-44AD-8C61-3B90670CC43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6</Pages>
  <Words>2306</Words>
  <Characters>2473</Characters>
  <Lines>0</Lines>
  <Paragraphs>43</Paragraphs>
  <TotalTime>114</TotalTime>
  <ScaleCrop>false</ScaleCrop>
  <LinksUpToDate>false</LinksUpToDate>
  <CharactersWithSpaces>2500</CharactersWithSpaces>
  <Application>WPS Office_12.1.0.20305_F1E327BC-269C-435d-A152-05C5408002CA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LiJianLong</dc:creator>
  <cp:lastModifiedBy>李真</cp:lastModifiedBy>
  <dcterms:modified xsi:type="dcterms:W3CDTF">2025-09-03T09:07:00Z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eyJoZGlkIjoiNzUwZDBmYzBkNDgxN2I2ZDFkY2Q5Y2ZmNTU3NWZjZjkiLCJ1c2VySWQiOiIxNjc4NTc5MTA3In0=</vt:lpwstr>
  </property>
  <property fmtid="{D5CDD505-2E9C-101B-9397-08002B2CF9AE}" pid="4" name="ICV">
    <vt:lpwstr>A2CA3C807C9644819A494F4639D449B9_13</vt:lpwstr>
  </property>
</Properties>
</file>